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7B" w:rsidRPr="000F25EA" w:rsidRDefault="00F37D7B" w:rsidP="00F37D7B">
      <w:pPr>
        <w:shd w:val="clear" w:color="auto" w:fill="FFFFFF"/>
        <w:jc w:val="both"/>
        <w:rPr>
          <w:b/>
          <w:color w:val="222222"/>
          <w:sz w:val="48"/>
          <w:szCs w:val="48"/>
        </w:rPr>
      </w:pPr>
      <w:r w:rsidRPr="000F25EA">
        <w:rPr>
          <w:b/>
          <w:noProof/>
          <w:color w:val="222222"/>
          <w:sz w:val="48"/>
          <w:szCs w:val="4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6985</wp:posOffset>
            </wp:positionV>
            <wp:extent cx="594995" cy="614045"/>
            <wp:effectExtent l="1905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5EA">
        <w:rPr>
          <w:b/>
          <w:color w:val="222222"/>
          <w:sz w:val="48"/>
          <w:szCs w:val="48"/>
        </w:rPr>
        <w:t>PROVINCIA di BENEVENTO</w:t>
      </w:r>
    </w:p>
    <w:p w:rsidR="00F37D7B" w:rsidRPr="00A65AE6" w:rsidRDefault="00F37D7B" w:rsidP="00F37D7B">
      <w:pPr>
        <w:pBdr>
          <w:bottom w:val="single" w:sz="12" w:space="1" w:color="auto"/>
        </w:pBdr>
        <w:shd w:val="clear" w:color="auto" w:fill="FFFFFF"/>
        <w:jc w:val="both"/>
        <w:rPr>
          <w:b/>
          <w:color w:val="222222"/>
        </w:rPr>
      </w:pPr>
      <w:r w:rsidRPr="00A65AE6">
        <w:rPr>
          <w:b/>
          <w:color w:val="222222"/>
        </w:rPr>
        <w:t xml:space="preserve">L’Ufficio Stampa </w:t>
      </w:r>
    </w:p>
    <w:p w:rsidR="00E2570C" w:rsidRDefault="00F37D7B"/>
    <w:p w:rsidR="00F37D7B" w:rsidRPr="00F37D7B" w:rsidRDefault="00F37D7B">
      <w:pPr>
        <w:rPr>
          <w:sz w:val="16"/>
          <w:szCs w:val="16"/>
        </w:rPr>
      </w:pPr>
    </w:p>
    <w:p w:rsidR="00F37D7B" w:rsidRDefault="00F37D7B" w:rsidP="00F37D7B">
      <w:pPr>
        <w:pStyle w:val="Stilepredefinito"/>
        <w:jc w:val="both"/>
      </w:pPr>
      <w:r w:rsidRPr="00DD2DBB">
        <w:rPr>
          <w:b/>
          <w:u w:val="single"/>
        </w:rPr>
        <w:t>Comunicato Stampa n. 140</w:t>
      </w:r>
      <w:r>
        <w:rPr>
          <w:b/>
          <w:u w:val="single"/>
        </w:rPr>
        <w:t>7</w:t>
      </w:r>
      <w:r w:rsidRPr="00DD2DBB">
        <w:rPr>
          <w:b/>
          <w:u w:val="single"/>
        </w:rPr>
        <w:t xml:space="preserve"> del</w:t>
      </w:r>
      <w:r>
        <w:rPr>
          <w:b/>
          <w:u w:val="single"/>
        </w:rPr>
        <w:t xml:space="preserve"> </w:t>
      </w:r>
      <w:r w:rsidRPr="00DD2DBB">
        <w:rPr>
          <w:b/>
          <w:u w:val="single"/>
        </w:rPr>
        <w:t>1</w:t>
      </w:r>
      <w:r>
        <w:rPr>
          <w:b/>
          <w:u w:val="single"/>
        </w:rPr>
        <w:t>2</w:t>
      </w:r>
      <w:r w:rsidRPr="00DD2DBB">
        <w:rPr>
          <w:b/>
          <w:u w:val="single"/>
        </w:rPr>
        <w:t xml:space="preserve"> marzo 2021</w:t>
      </w:r>
    </w:p>
    <w:p w:rsidR="00F37D7B" w:rsidRPr="00F478C4" w:rsidRDefault="00F37D7B" w:rsidP="00F37D7B">
      <w:pPr>
        <w:pStyle w:val="Stilepredefinito"/>
        <w:jc w:val="both"/>
      </w:pPr>
      <w:r>
        <w:t xml:space="preserve">La Provincia di Benevento ha avviato le consultazioni per la redazione del </w:t>
      </w:r>
      <w:r w:rsidRPr="00F478C4">
        <w:t>Contratto Istituzionale di Sviluppo (CIS).</w:t>
      </w:r>
    </w:p>
    <w:p w:rsidR="00F37D7B" w:rsidRDefault="00F37D7B" w:rsidP="00F37D7B">
      <w:pPr>
        <w:pStyle w:val="Stilepredefinito"/>
        <w:jc w:val="both"/>
      </w:pPr>
      <w:r>
        <w:t xml:space="preserve">Il Presidente Antonio Di Maria ha invitato con una sua nota i Sindaci, i Presidenti delle Comunità Montane, i Consiglieri provinciali a partecipare a questo processo di formazione di un documento condiviso; mentre nei prossimi giorni partiranno analoghi inviti per gli altri Soggetti Istituzionali, le Organizzazioni del mondo produttivo, le forze vive della società civile e del terzo settore. </w:t>
      </w:r>
    </w:p>
    <w:p w:rsidR="00F37D7B" w:rsidRPr="00164949" w:rsidRDefault="00F37D7B" w:rsidP="00F37D7B">
      <w:pPr>
        <w:pStyle w:val="Stilepredefinito"/>
        <w:jc w:val="both"/>
      </w:pPr>
      <w:r>
        <w:t xml:space="preserve">Di Maria ha voluto questo processo di condivisione per la individuazione di una strategia di sviluppo perché, ha sostenuto nella sua lettera, </w:t>
      </w:r>
      <w:r w:rsidRPr="00164949">
        <w:t xml:space="preserve">è necessario «riaffermare il protagonismo delle Istituzioni locali nella programmazione della crescita socio-economica del Sannio». </w:t>
      </w:r>
    </w:p>
    <w:p w:rsidR="00F37D7B" w:rsidRDefault="00F37D7B" w:rsidP="00F37D7B">
      <w:pPr>
        <w:pStyle w:val="Stilepredefinito"/>
        <w:jc w:val="both"/>
      </w:pPr>
      <w:r w:rsidRPr="00164949">
        <w:t xml:space="preserve">Il Contratto Istituzionale di Sviluppo (CIS) è lo strumento che consente al Governo, attraverso le Autonomie Locali, di realizzare programmi strategici complessi che integrano interventi funzionalmente connessi per la valorizzazione e lo sviluppo dei territori. </w:t>
      </w:r>
    </w:p>
    <w:p w:rsidR="00F37D7B" w:rsidRPr="00164949" w:rsidRDefault="00F37D7B" w:rsidP="00F37D7B">
      <w:pPr>
        <w:pStyle w:val="Stilepredefinito"/>
        <w:jc w:val="both"/>
      </w:pPr>
      <w:r w:rsidRPr="00164949">
        <w:t xml:space="preserve">Il CIS accelera, moltiplica e rende convergenti le esigenze della domanda del territorio con l'offerta di sviluppo: rientrano in tale ambito i progetti di </w:t>
      </w:r>
      <w:proofErr w:type="spellStart"/>
      <w:r w:rsidRPr="00164949">
        <w:t>infrastrutturazione</w:t>
      </w:r>
      <w:proofErr w:type="spellEnd"/>
      <w:r w:rsidRPr="00164949">
        <w:t>, sviluppo economico, produttivo e imprenditoriale, turismo, cultura e valorizzazione delle risorse naturali, ambiente, occupazione e inclusione sociale.</w:t>
      </w:r>
    </w:p>
    <w:p w:rsidR="00F37D7B" w:rsidRPr="00164949" w:rsidRDefault="00F37D7B" w:rsidP="00F37D7B">
      <w:pPr>
        <w:pStyle w:val="Stilepredefinito"/>
        <w:jc w:val="both"/>
      </w:pPr>
      <w:r w:rsidRPr="00164949">
        <w:t xml:space="preserve">Per predisporre una proposta di CIS, determinarne priorità ed obiettivi, individuare gli indirizzi strategici di fondo della proposta programmatica, il Presidente </w:t>
      </w:r>
      <w:r>
        <w:t>del</w:t>
      </w:r>
      <w:r w:rsidRPr="00164949">
        <w:t>la Provincia di Benevento ha scelto la strada del partenariato istituzionale ed economico-sociale: con la cooperazione dei Sindaci e degli altri attori istituzionali e dei Soggetti che intervengono nella vita della società civile, Di Maria vuole giungere ad una proposta condivisa ed aderente alla realtà, che tenga conto di criticità e fabbisogni</w:t>
      </w:r>
      <w:r>
        <w:t>,</w:t>
      </w:r>
      <w:r w:rsidRPr="00164949">
        <w:t xml:space="preserve"> ai processi</w:t>
      </w:r>
      <w:r>
        <w:t xml:space="preserve"> e </w:t>
      </w:r>
      <w:r w:rsidRPr="00164949">
        <w:t>alle dinamiche in atto</w:t>
      </w:r>
      <w:r w:rsidRPr="000F4FCB">
        <w:t xml:space="preserve"> </w:t>
      </w:r>
      <w:r>
        <w:t>su</w:t>
      </w:r>
      <w:r w:rsidRPr="00164949">
        <w:t>l territorio.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>La consultazione si apre dunque con le Istituzioni locali e vuole recepire le istanze delle 6 diverse sub-aree provinciali o “Sistemi Territoriali” così come sono state individuate dalla programmazione regionale e cioè:</w:t>
            </w:r>
          </w:p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 xml:space="preserve">1) Sistema Territoriale Fortore, </w:t>
            </w:r>
          </w:p>
        </w:tc>
      </w:tr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 xml:space="preserve">2) Sistema Territoriale Alto </w:t>
            </w:r>
            <w:proofErr w:type="spellStart"/>
            <w:r w:rsidRPr="00164949">
              <w:t>Tammaro</w:t>
            </w:r>
            <w:proofErr w:type="spellEnd"/>
            <w:r w:rsidRPr="00164949">
              <w:t>,</w:t>
            </w:r>
          </w:p>
        </w:tc>
      </w:tr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 xml:space="preserve">3) Sistema Territoriale </w:t>
            </w:r>
            <w:proofErr w:type="spellStart"/>
            <w:r w:rsidRPr="00164949">
              <w:t>Titerno</w:t>
            </w:r>
            <w:proofErr w:type="spellEnd"/>
            <w:r w:rsidRPr="00164949">
              <w:t>,</w:t>
            </w:r>
          </w:p>
        </w:tc>
      </w:tr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 xml:space="preserve">4) Sistema Territoriale </w:t>
            </w:r>
            <w:proofErr w:type="spellStart"/>
            <w:r w:rsidRPr="00164949">
              <w:t>Taburno</w:t>
            </w:r>
            <w:proofErr w:type="spellEnd"/>
            <w:r w:rsidRPr="00164949">
              <w:t>,</w:t>
            </w:r>
          </w:p>
        </w:tc>
      </w:tr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>5) Sistema Territoriale Urbano Benevento,</w:t>
            </w:r>
          </w:p>
        </w:tc>
      </w:tr>
      <w:tr w:rsidR="00F37D7B" w:rsidRPr="00164949" w:rsidTr="00021E9B">
        <w:tc>
          <w:tcPr>
            <w:tcW w:w="9747" w:type="dxa"/>
          </w:tcPr>
          <w:p w:rsidR="00F37D7B" w:rsidRPr="00164949" w:rsidRDefault="00F37D7B" w:rsidP="00021E9B">
            <w:pPr>
              <w:pStyle w:val="Stilepredefinito"/>
              <w:jc w:val="both"/>
            </w:pPr>
            <w:r w:rsidRPr="00164949">
              <w:t>6) Sistema Territoriale Pietrelcina</w:t>
            </w:r>
            <w:r>
              <w:t>.</w:t>
            </w:r>
          </w:p>
        </w:tc>
      </w:tr>
    </w:tbl>
    <w:p w:rsidR="00F37D7B" w:rsidRPr="00164949" w:rsidRDefault="00F37D7B" w:rsidP="00F37D7B">
      <w:pPr>
        <w:pStyle w:val="Stilepredefinito"/>
        <w:jc w:val="both"/>
      </w:pPr>
      <w:r w:rsidRPr="00164949">
        <w:t xml:space="preserve">Per ciascuna di queste 6 sub aree, nel corso di altrettante Conferenze </w:t>
      </w:r>
      <w:r>
        <w:t xml:space="preserve">web in air, </w:t>
      </w:r>
      <w:r w:rsidRPr="00164949">
        <w:t xml:space="preserve">verranno individuati interventi e azioni strategiche con valenza comprensoriale per acquisire le indicazioni delle Istituzioni circa le linee strategiche da seguire per lo sviluppo del comprensorio medesimo. </w:t>
      </w:r>
    </w:p>
    <w:p w:rsidR="00F37D7B" w:rsidRPr="00164949" w:rsidRDefault="00F37D7B" w:rsidP="00F37D7B">
      <w:pPr>
        <w:pStyle w:val="Stilepredefinito"/>
        <w:jc w:val="both"/>
      </w:pPr>
      <w:r w:rsidRPr="00164949">
        <w:t xml:space="preserve">Agli Enti locali è stata inviata anche una Scheda per il monitoraggio degli Interventi </w:t>
      </w:r>
      <w:r>
        <w:t>che consentirà di</w:t>
      </w:r>
      <w:r w:rsidRPr="00164949">
        <w:t xml:space="preserve"> r</w:t>
      </w:r>
      <w:r>
        <w:t xml:space="preserve">ealizzare una banca dati degli interventi in corso o da realizzare su infrastrutture materiali ed immateriali e su altre opere pubbliche </w:t>
      </w:r>
      <w:r w:rsidRPr="00164949">
        <w:t>di competenza d</w:t>
      </w:r>
      <w:r>
        <w:t xml:space="preserve">i ciascun </w:t>
      </w:r>
      <w:r w:rsidRPr="00164949">
        <w:t xml:space="preserve">Ente.   </w:t>
      </w:r>
    </w:p>
    <w:p w:rsidR="00F37D7B" w:rsidRPr="00164949" w:rsidRDefault="00F37D7B" w:rsidP="00F37D7B">
      <w:pPr>
        <w:pStyle w:val="Stilepredefinito"/>
        <w:jc w:val="both"/>
      </w:pPr>
      <w:r w:rsidRPr="00164949">
        <w:t>Le 6 Conferenze web in air rispett</w:t>
      </w:r>
      <w:r>
        <w:t>er</w:t>
      </w:r>
      <w:r w:rsidRPr="00164949">
        <w:t>a</w:t>
      </w:r>
      <w:r>
        <w:t>n</w:t>
      </w:r>
      <w:r w:rsidRPr="00164949">
        <w:t>no il seguente calendario:</w:t>
      </w:r>
    </w:p>
    <w:p w:rsidR="00F37D7B" w:rsidRPr="00BD7EFC" w:rsidRDefault="00F37D7B" w:rsidP="00F37D7B">
      <w:pPr>
        <w:widowControl w:val="0"/>
        <w:autoSpaceDE w:val="0"/>
        <w:autoSpaceDN w:val="0"/>
        <w:ind w:firstLine="708"/>
        <w:jc w:val="both"/>
        <w:rPr>
          <w:rFonts w:ascii="Bookman Old Style" w:hAnsi="Bookman Old Style"/>
          <w:spacing w:val="-4"/>
          <w:sz w:val="8"/>
          <w:szCs w:val="8"/>
        </w:rPr>
      </w:pPr>
    </w:p>
    <w:p w:rsidR="00F37D7B" w:rsidRPr="00BD7EFC" w:rsidRDefault="00F37D7B" w:rsidP="00F37D7B">
      <w:pPr>
        <w:widowControl w:val="0"/>
        <w:autoSpaceDE w:val="0"/>
        <w:autoSpaceDN w:val="0"/>
        <w:jc w:val="center"/>
        <w:rPr>
          <w:rFonts w:ascii="Bookman Old Style" w:hAnsi="Bookman Old Style"/>
          <w:b/>
          <w:spacing w:val="-4"/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4677"/>
        <w:gridCol w:w="4643"/>
      </w:tblGrid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1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Sistema Territoriale Fortore</w:t>
            </w:r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lunedì 29 marzo 2021, ore 15.30</w:t>
            </w:r>
          </w:p>
        </w:tc>
      </w:tr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2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 xml:space="preserve">Sistema Territoriale Alto </w:t>
            </w:r>
            <w:proofErr w:type="spellStart"/>
            <w:r w:rsidRPr="00164949">
              <w:rPr>
                <w:rFonts w:ascii="Bookman Old Style" w:hAnsi="Bookman Old Style"/>
                <w:spacing w:val="-4"/>
              </w:rPr>
              <w:t>Tammaro</w:t>
            </w:r>
            <w:proofErr w:type="spellEnd"/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lunedì 29 marzo 2021, ore 17.30</w:t>
            </w:r>
          </w:p>
        </w:tc>
      </w:tr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3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 xml:space="preserve">Sistema Territoriale </w:t>
            </w:r>
            <w:proofErr w:type="spellStart"/>
            <w:r w:rsidRPr="00164949">
              <w:rPr>
                <w:rFonts w:ascii="Bookman Old Style" w:hAnsi="Bookman Old Style"/>
                <w:spacing w:val="-4"/>
              </w:rPr>
              <w:t>Titerno</w:t>
            </w:r>
            <w:proofErr w:type="spellEnd"/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martedì 30 marzo 2021, ore 15.30</w:t>
            </w:r>
          </w:p>
        </w:tc>
      </w:tr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4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 xml:space="preserve">Sistema Territoriale </w:t>
            </w:r>
            <w:proofErr w:type="spellStart"/>
            <w:r w:rsidRPr="00164949">
              <w:rPr>
                <w:rFonts w:ascii="Bookman Old Style" w:hAnsi="Bookman Old Style"/>
                <w:spacing w:val="-4"/>
              </w:rPr>
              <w:t>Taburno</w:t>
            </w:r>
            <w:proofErr w:type="spellEnd"/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martedì 30 marzo 2021, ore 17.30</w:t>
            </w:r>
          </w:p>
        </w:tc>
      </w:tr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5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Sistema Territoriale Urbano Benevento</w:t>
            </w:r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giovedì 01 aprile 2021, ore 15.30</w:t>
            </w:r>
          </w:p>
        </w:tc>
      </w:tr>
      <w:tr w:rsidR="00F37D7B" w:rsidRPr="00164949" w:rsidTr="00021E9B">
        <w:tc>
          <w:tcPr>
            <w:tcW w:w="534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6</w:t>
            </w:r>
          </w:p>
        </w:tc>
        <w:tc>
          <w:tcPr>
            <w:tcW w:w="4677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Sistema Territoriale Pietrelcina</w:t>
            </w:r>
          </w:p>
        </w:tc>
        <w:tc>
          <w:tcPr>
            <w:tcW w:w="4643" w:type="dxa"/>
          </w:tcPr>
          <w:p w:rsidR="00F37D7B" w:rsidRPr="00164949" w:rsidRDefault="00F37D7B" w:rsidP="00021E9B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pacing w:val="-4"/>
              </w:rPr>
            </w:pPr>
            <w:r w:rsidRPr="00164949">
              <w:rPr>
                <w:rFonts w:ascii="Bookman Old Style" w:hAnsi="Bookman Old Style"/>
                <w:spacing w:val="-4"/>
              </w:rPr>
              <w:t>giovedì 01 aprile 2021, ore 17.30</w:t>
            </w:r>
          </w:p>
        </w:tc>
      </w:tr>
    </w:tbl>
    <w:p w:rsidR="00F37D7B" w:rsidRPr="00164949" w:rsidRDefault="00F37D7B" w:rsidP="00F37D7B">
      <w:pPr>
        <w:widowControl w:val="0"/>
        <w:autoSpaceDE w:val="0"/>
        <w:autoSpaceDN w:val="0"/>
        <w:jc w:val="center"/>
        <w:rPr>
          <w:rFonts w:ascii="Bookman Old Style" w:hAnsi="Bookman Old Style"/>
          <w:spacing w:val="-4"/>
          <w:sz w:val="8"/>
          <w:szCs w:val="8"/>
        </w:rPr>
      </w:pPr>
    </w:p>
    <w:p w:rsidR="00F37D7B" w:rsidRDefault="00F37D7B"/>
    <w:sectPr w:rsidR="00F37D7B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37D7B"/>
    <w:rsid w:val="001A2F68"/>
    <w:rsid w:val="008477E8"/>
    <w:rsid w:val="00955FB4"/>
    <w:rsid w:val="009A6D19"/>
    <w:rsid w:val="00B85ECE"/>
    <w:rsid w:val="00BB2BD4"/>
    <w:rsid w:val="00C66DC3"/>
    <w:rsid w:val="00F3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predefinito">
    <w:name w:val="Stile predefinito"/>
    <w:rsid w:val="00F37D7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1</cp:revision>
  <dcterms:created xsi:type="dcterms:W3CDTF">2021-04-01T08:06:00Z</dcterms:created>
  <dcterms:modified xsi:type="dcterms:W3CDTF">2021-04-01T08:08:00Z</dcterms:modified>
</cp:coreProperties>
</file>