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Allegato 3</w:t>
      </w:r>
    </w:p>
    <w:p w:rsidR="00936BF2" w:rsidRDefault="00936BF2" w:rsidP="00936BF2">
      <w:pPr>
        <w:pStyle w:val="Textbody"/>
        <w:spacing w:line="320" w:lineRule="exact"/>
        <w:rPr>
          <w:rFonts w:ascii="Calibri" w:hAnsi="Calibri" w:cs="Verdana"/>
          <w:sz w:val="20"/>
          <w:szCs w:val="20"/>
        </w:rPr>
      </w:pPr>
    </w:p>
    <w:p w:rsidR="00936BF2" w:rsidRPr="00025D95" w:rsidRDefault="00936BF2" w:rsidP="00936BF2">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1312"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936BF2" w:rsidRPr="00105F62" w:rsidRDefault="00936BF2" w:rsidP="00936BF2">
      <w:pPr>
        <w:jc w:val="center"/>
        <w:rPr>
          <w:rFonts w:ascii="Times New Roman" w:hAnsi="Times New Roman" w:cs="Times New Roman"/>
          <w:b/>
          <w:i/>
          <w:noProof/>
          <w:sz w:val="32"/>
          <w:szCs w:val="32"/>
          <w:lang w:eastAsia="it-IT"/>
        </w:rPr>
      </w:pPr>
      <w:r w:rsidRPr="00105F62">
        <w:rPr>
          <w:rFonts w:ascii="Times New Roman" w:hAnsi="Times New Roman" w:cs="Times New Roman"/>
          <w:b/>
          <w:i/>
          <w:noProof/>
          <w:sz w:val="32"/>
          <w:szCs w:val="32"/>
          <w:lang w:eastAsia="it-IT"/>
        </w:rPr>
        <w:t>Settore Viabilità e Infrastrutture</w:t>
      </w: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p>
    <w:p w:rsidR="00AA5655" w:rsidRPr="00AA5655" w:rsidRDefault="00AA5655" w:rsidP="00AA5655">
      <w:pPr>
        <w:spacing w:after="60" w:line="280" w:lineRule="exact"/>
        <w:jc w:val="center"/>
        <w:rPr>
          <w:rFonts w:ascii="Times New Roman" w:hAnsi="Times New Roman" w:cs="Times New Roman"/>
          <w:bCs/>
          <w:sz w:val="24"/>
          <w:szCs w:val="24"/>
        </w:rPr>
      </w:pPr>
      <w:r w:rsidRPr="00AA5655">
        <w:rPr>
          <w:rFonts w:ascii="Times New Roman" w:hAnsi="Times New Roman" w:cs="Times New Roman"/>
          <w:bCs/>
          <w:sz w:val="24"/>
          <w:szCs w:val="24"/>
        </w:rPr>
        <w:t xml:space="preserve">Procedura interamente telematica ai sensi dell’art. 58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 con aggiudicazione secondo il criterio del miglior rapporto qualità/prezzo ai sensi dell’art. 95 comma 2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w:t>
      </w:r>
      <w:r w:rsidRPr="00AA5655">
        <w:rPr>
          <w:rFonts w:ascii="Times New Roman" w:hAnsi="Times New Roman" w:cs="Times New Roman"/>
          <w:sz w:val="24"/>
          <w:szCs w:val="24"/>
        </w:rPr>
        <w:t>.</w:t>
      </w:r>
    </w:p>
    <w:p w:rsidR="00AA5655" w:rsidRDefault="00AA5655" w:rsidP="00936BF2">
      <w:pPr>
        <w:autoSpaceDE w:val="0"/>
        <w:autoSpaceDN w:val="0"/>
        <w:adjustRightInd w:val="0"/>
        <w:spacing w:after="0" w:line="360" w:lineRule="auto"/>
        <w:jc w:val="both"/>
        <w:rPr>
          <w:rFonts w:ascii="Times New Roman" w:hAnsi="Times New Roman" w:cs="Times New Roman"/>
          <w:sz w:val="28"/>
          <w:szCs w:val="28"/>
        </w:rPr>
      </w:pP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r w:rsidRPr="00D32C55">
        <w:rPr>
          <w:rFonts w:ascii="Times New Roman" w:hAnsi="Times New Roman" w:cs="Times New Roman"/>
          <w:sz w:val="28"/>
          <w:szCs w:val="28"/>
        </w:rPr>
        <w:t xml:space="preserve">GARA EUROPEA A PROCEDURA APERTA RELATIVA ALL’INTERVENTO DENOMINATO “STRADA </w:t>
      </w:r>
      <w:proofErr w:type="spellStart"/>
      <w:r w:rsidRPr="00D32C55">
        <w:rPr>
          <w:rFonts w:ascii="Times New Roman" w:hAnsi="Times New Roman" w:cs="Times New Roman"/>
          <w:sz w:val="28"/>
          <w:szCs w:val="28"/>
        </w:rPr>
        <w:t>DI</w:t>
      </w:r>
      <w:proofErr w:type="spellEnd"/>
      <w:r w:rsidRPr="00D32C55">
        <w:rPr>
          <w:rFonts w:ascii="Times New Roman" w:hAnsi="Times New Roman" w:cs="Times New Roman"/>
          <w:sz w:val="28"/>
          <w:szCs w:val="28"/>
        </w:rPr>
        <w:t xml:space="preserve"> COLLEGAMENTO AREA INTERNA DEL FORTORE CON SS 90 BIS. LAVORI </w:t>
      </w:r>
      <w:proofErr w:type="spellStart"/>
      <w:r w:rsidRPr="00D32C55">
        <w:rPr>
          <w:rFonts w:ascii="Times New Roman" w:hAnsi="Times New Roman" w:cs="Times New Roman"/>
          <w:sz w:val="28"/>
          <w:szCs w:val="28"/>
        </w:rPr>
        <w:t>DI</w:t>
      </w:r>
      <w:proofErr w:type="spellEnd"/>
      <w:r w:rsidRPr="00D32C55">
        <w:rPr>
          <w:rFonts w:ascii="Times New Roman" w:hAnsi="Times New Roman" w:cs="Times New Roman"/>
          <w:sz w:val="28"/>
          <w:szCs w:val="28"/>
        </w:rPr>
        <w:t xml:space="preserve"> COSTRUZIONE STRADA </w:t>
      </w:r>
      <w:proofErr w:type="spellStart"/>
      <w:r w:rsidRPr="00D32C55">
        <w:rPr>
          <w:rFonts w:ascii="Times New Roman" w:hAnsi="Times New Roman" w:cs="Times New Roman"/>
          <w:sz w:val="28"/>
          <w:szCs w:val="28"/>
        </w:rPr>
        <w:t>DI</w:t>
      </w:r>
      <w:proofErr w:type="spellEnd"/>
      <w:r w:rsidRPr="00D32C55">
        <w:rPr>
          <w:rFonts w:ascii="Times New Roman" w:hAnsi="Times New Roman" w:cs="Times New Roman"/>
          <w:sz w:val="28"/>
          <w:szCs w:val="28"/>
        </w:rPr>
        <w:t xml:space="preserve"> COLLEGAMENTO FOIANO V.F. – SS 90 BIS (1° TRONCO)  TRATTO S.P. </w:t>
      </w:r>
      <w:proofErr w:type="spellStart"/>
      <w:r w:rsidRPr="00D32C55">
        <w:rPr>
          <w:rFonts w:ascii="Times New Roman" w:hAnsi="Times New Roman" w:cs="Times New Roman"/>
          <w:sz w:val="28"/>
          <w:szCs w:val="28"/>
        </w:rPr>
        <w:t>N°</w:t>
      </w:r>
      <w:proofErr w:type="spellEnd"/>
      <w:r w:rsidRPr="00D32C55">
        <w:rPr>
          <w:rFonts w:ascii="Times New Roman" w:hAnsi="Times New Roman" w:cs="Times New Roman"/>
          <w:sz w:val="28"/>
          <w:szCs w:val="28"/>
        </w:rPr>
        <w:t xml:space="preserve"> 169 CONTRADA GANTO/</w:t>
      </w:r>
      <w:proofErr w:type="spellStart"/>
      <w:r w:rsidRPr="00D32C55">
        <w:rPr>
          <w:rFonts w:ascii="Times New Roman" w:hAnsi="Times New Roman" w:cs="Times New Roman"/>
          <w:sz w:val="28"/>
          <w:szCs w:val="28"/>
        </w:rPr>
        <w:t>CALCARELLA-S.P.</w:t>
      </w:r>
      <w:proofErr w:type="spellEnd"/>
      <w:r w:rsidRPr="00D32C55">
        <w:rPr>
          <w:rFonts w:ascii="Times New Roman" w:hAnsi="Times New Roman" w:cs="Times New Roman"/>
          <w:sz w:val="28"/>
          <w:szCs w:val="28"/>
        </w:rPr>
        <w:t xml:space="preserve"> </w:t>
      </w:r>
      <w:proofErr w:type="spellStart"/>
      <w:r w:rsidRPr="00D32C55">
        <w:rPr>
          <w:rFonts w:ascii="Times New Roman" w:hAnsi="Times New Roman" w:cs="Times New Roman"/>
          <w:sz w:val="28"/>
          <w:szCs w:val="28"/>
        </w:rPr>
        <w:t>N°</w:t>
      </w:r>
      <w:proofErr w:type="spellEnd"/>
      <w:r w:rsidRPr="00D32C55">
        <w:rPr>
          <w:rFonts w:ascii="Times New Roman" w:hAnsi="Times New Roman" w:cs="Times New Roman"/>
          <w:sz w:val="28"/>
          <w:szCs w:val="28"/>
        </w:rPr>
        <w:t xml:space="preserve"> 88” - avente ad oggetto l’appalto della prog</w:t>
      </w:r>
      <w:r>
        <w:rPr>
          <w:rFonts w:ascii="Times New Roman" w:hAnsi="Times New Roman" w:cs="Times New Roman"/>
          <w:sz w:val="28"/>
          <w:szCs w:val="28"/>
        </w:rPr>
        <w:t xml:space="preserve">ettazione definitiva, esecutiva, coordinamento della sicurezza in fase di progettazione </w:t>
      </w:r>
      <w:r w:rsidRPr="00D32C55">
        <w:rPr>
          <w:rFonts w:ascii="Times New Roman" w:hAnsi="Times New Roman" w:cs="Times New Roman"/>
          <w:sz w:val="28"/>
          <w:szCs w:val="28"/>
        </w:rPr>
        <w:t>ed esecuzione dei lavori.</w:t>
      </w:r>
    </w:p>
    <w:p w:rsidR="00936BF2" w:rsidRPr="00D3789D" w:rsidRDefault="00936BF2" w:rsidP="00936BF2">
      <w:pPr>
        <w:autoSpaceDE w:val="0"/>
        <w:autoSpaceDN w:val="0"/>
        <w:adjustRightInd w:val="0"/>
        <w:spacing w:after="0"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CUP I41B19000280001</w:t>
      </w:r>
    </w:p>
    <w:p w:rsidR="00936BF2" w:rsidRPr="00D3789D" w:rsidRDefault="00936BF2" w:rsidP="00936BF2">
      <w:pPr>
        <w:autoSpaceDE w:val="0"/>
        <w:autoSpaceDN w:val="0"/>
        <w:adjustRightInd w:val="0"/>
        <w:spacing w:after="0"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sz w:val="24"/>
          <w:szCs w:val="24"/>
        </w:rPr>
        <w:t xml:space="preserve"> </w:t>
      </w:r>
      <w:r w:rsidRPr="00D3789D">
        <w:rPr>
          <w:rFonts w:ascii="Times New Roman" w:hAnsi="Times New Roman" w:cs="Times New Roman"/>
          <w:b/>
          <w:sz w:val="28"/>
          <w:szCs w:val="28"/>
        </w:rPr>
        <w:t>94693957F4</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L’utenza creata in sede di registrazione è necessaria per ogni successivo accesso alle fasi telematiche della procedura (presentazione, analisi, valutazione ed aggiudicazione delle offerte, oltre che le </w:t>
      </w:r>
      <w:r w:rsidRPr="00936BF2">
        <w:rPr>
          <w:rFonts w:ascii="Times New Roman" w:hAnsi="Times New Roman" w:cs="Times New Roman"/>
        </w:rPr>
        <w:lastRenderedPageBreak/>
        <w:t>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w:t>
      </w:r>
      <w:r w:rsidRPr="00936BF2">
        <w:rPr>
          <w:rFonts w:ascii="Times New Roman" w:hAnsi="Times New Roman" w:cs="Times New Roman"/>
          <w:bCs/>
          <w:color w:val="000000"/>
        </w:rPr>
        <w:lastRenderedPageBreak/>
        <w:t xml:space="preserve">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0056050C" w:rsidRPr="00936BF2">
        <w:rPr>
          <w:rFonts w:ascii="Times New Roman" w:hAnsi="Times New Roman" w:cs="Times New Roman"/>
          <w:b/>
        </w:rPr>
        <w:t xml:space="preserve">F.to </w:t>
      </w:r>
      <w:r w:rsidRPr="00936BF2">
        <w:rPr>
          <w:rFonts w:ascii="Times New Roman" w:hAnsi="Times New Roman" w:cs="Times New Roman"/>
          <w:b/>
        </w:rPr>
        <w:t>Ing. Angelo Carmine Giordano</w:t>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374AD6"/>
    <w:rsid w:val="0056050C"/>
    <w:rsid w:val="006174FE"/>
    <w:rsid w:val="00694EF3"/>
    <w:rsid w:val="006A173D"/>
    <w:rsid w:val="0072627A"/>
    <w:rsid w:val="007B2A4E"/>
    <w:rsid w:val="008E6E25"/>
    <w:rsid w:val="00936BF2"/>
    <w:rsid w:val="00945DC5"/>
    <w:rsid w:val="009C4FF3"/>
    <w:rsid w:val="00AA5655"/>
    <w:rsid w:val="00AE53BC"/>
    <w:rsid w:val="00AF1F81"/>
    <w:rsid w:val="00BE1643"/>
    <w:rsid w:val="00C04912"/>
    <w:rsid w:val="00C50AB3"/>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2405</Words>
  <Characters>13715</Characters>
  <Application>Microsoft Office Word</Application>
  <DocSecurity>0</DocSecurity>
  <Lines>114</Lines>
  <Paragraphs>32</Paragraphs>
  <ScaleCrop>false</ScaleCrop>
  <Company>Microsoft</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13</cp:revision>
  <dcterms:created xsi:type="dcterms:W3CDTF">2020-11-29T11:46:00Z</dcterms:created>
  <dcterms:modified xsi:type="dcterms:W3CDTF">2022-10-31T15:13:00Z</dcterms:modified>
</cp:coreProperties>
</file>