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DD" w:rsidRPr="00A23947" w:rsidRDefault="003B79DD" w:rsidP="003B79DD">
      <w:pPr>
        <w:shd w:val="clear" w:color="auto" w:fill="FFFFFF"/>
        <w:jc w:val="both"/>
        <w:rPr>
          <w:b/>
          <w:color w:val="4F81BD" w:themeColor="accent1"/>
          <w:sz w:val="66"/>
          <w:szCs w:val="66"/>
        </w:rPr>
      </w:pPr>
      <w:r w:rsidRPr="00A23947">
        <w:rPr>
          <w:b/>
          <w:noProof/>
          <w:color w:val="4F81BD" w:themeColor="accent1"/>
          <w:sz w:val="66"/>
          <w:szCs w:val="66"/>
          <w:lang w:eastAsia="it-IT"/>
        </w:rPr>
        <w:drawing>
          <wp:anchor distT="0" distB="0" distL="114935" distR="114935" simplePos="0" relativeHeight="251659264" behindDoc="0" locked="0" layoutInCell="1" allowOverlap="1">
            <wp:simplePos x="0" y="0"/>
            <wp:positionH relativeFrom="column">
              <wp:posOffset>-394970</wp:posOffset>
            </wp:positionH>
            <wp:positionV relativeFrom="paragraph">
              <wp:posOffset>-20955</wp:posOffset>
            </wp:positionV>
            <wp:extent cx="696595" cy="713105"/>
            <wp:effectExtent l="19050" t="0" r="8255" b="0"/>
            <wp:wrapSquare wrapText="larges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96595" cy="713105"/>
                    </a:xfrm>
                    <a:prstGeom prst="rect">
                      <a:avLst/>
                    </a:prstGeom>
                    <a:solidFill>
                      <a:srgbClr val="FFFFFF"/>
                    </a:solidFill>
                    <a:ln w="9525">
                      <a:noFill/>
                      <a:miter lim="800000"/>
                      <a:headEnd/>
                      <a:tailEnd/>
                    </a:ln>
                  </pic:spPr>
                </pic:pic>
              </a:graphicData>
            </a:graphic>
          </wp:anchor>
        </w:drawing>
      </w:r>
      <w:r w:rsidRPr="00A23947">
        <w:rPr>
          <w:b/>
          <w:color w:val="4F81BD" w:themeColor="accent1"/>
          <w:sz w:val="66"/>
          <w:szCs w:val="66"/>
        </w:rPr>
        <w:t>PROVINCIA di BENEVENTO</w:t>
      </w:r>
    </w:p>
    <w:p w:rsidR="003B79DD" w:rsidRPr="004E3BC9" w:rsidRDefault="003B79DD" w:rsidP="003B79DD">
      <w:pPr>
        <w:widowControl/>
        <w:autoSpaceDE/>
        <w:autoSpaceDN/>
        <w:spacing w:before="100" w:beforeAutospacing="1"/>
        <w:jc w:val="center"/>
        <w:rPr>
          <w:rFonts w:ascii="Calibri" w:eastAsia="Times New Roman" w:hAnsi="Calibri" w:cs="Calibri"/>
          <w:color w:val="000000"/>
          <w:lang w:eastAsia="it-IT"/>
        </w:rPr>
      </w:pPr>
      <w:r w:rsidRPr="004E3BC9">
        <w:rPr>
          <w:rFonts w:eastAsia="Times New Roman"/>
          <w:b/>
          <w:i/>
          <w:color w:val="4F81BD"/>
          <w:lang w:eastAsia="it-IT"/>
        </w:rPr>
        <w:t>L’Ufficio Stampa _____________________________________________________________________________</w:t>
      </w:r>
    </w:p>
    <w:p w:rsidR="003B79DD" w:rsidRDefault="003B79DD" w:rsidP="003B79DD">
      <w:pPr>
        <w:widowControl/>
        <w:autoSpaceDE/>
        <w:autoSpaceDN/>
        <w:adjustRightInd w:val="0"/>
        <w:rPr>
          <w:b/>
          <w:u w:val="single"/>
        </w:rPr>
      </w:pPr>
    </w:p>
    <w:p w:rsidR="003B79DD" w:rsidRPr="008A5828" w:rsidRDefault="003B79DD" w:rsidP="003B79DD">
      <w:pPr>
        <w:widowControl/>
        <w:autoSpaceDN/>
        <w:adjustRightInd w:val="0"/>
        <w:rPr>
          <w:rFonts w:eastAsia="Times New Roman"/>
          <w:color w:val="000000"/>
          <w:lang w:eastAsia="it-IT"/>
        </w:rPr>
      </w:pPr>
      <w:r w:rsidRPr="008A5828">
        <w:rPr>
          <w:rFonts w:eastAsia="Times New Roman"/>
          <w:b/>
          <w:color w:val="000000"/>
          <w:u w:val="single"/>
          <w:lang w:eastAsia="it-IT"/>
        </w:rPr>
        <w:t>Comunicato Stampa n. 2546 del 21 novembre 2023</w:t>
      </w:r>
      <w:r w:rsidRPr="008A5828">
        <w:rPr>
          <w:rFonts w:eastAsia="Times New Roman"/>
          <w:b/>
          <w:color w:val="000000"/>
          <w:u w:val="single"/>
          <w:lang w:eastAsia="it-IT"/>
        </w:rPr>
        <w:br/>
      </w:r>
      <w:r w:rsidRPr="008A5828">
        <w:rPr>
          <w:rFonts w:eastAsia="Times New Roman"/>
          <w:b/>
          <w:color w:val="000000"/>
          <w:u w:val="single"/>
          <w:lang w:eastAsia="it-IT"/>
        </w:rPr>
        <w:br/>
      </w:r>
    </w:p>
    <w:p w:rsidR="003B79DD" w:rsidRPr="008A5828" w:rsidRDefault="003B79DD" w:rsidP="003B79DD">
      <w:pPr>
        <w:widowControl/>
        <w:autoSpaceDE/>
        <w:autoSpaceDN/>
        <w:spacing w:after="240"/>
        <w:jc w:val="both"/>
        <w:rPr>
          <w:rFonts w:eastAsia="Times New Roman"/>
          <w:color w:val="000000"/>
          <w:lang w:eastAsia="it-IT"/>
        </w:rPr>
      </w:pPr>
      <w:r w:rsidRPr="008A5828">
        <w:rPr>
          <w:rFonts w:ascii="Bookman Old Style" w:eastAsia="Times New Roman" w:hAnsi="Bookman Old Style" w:cs="Charter BT"/>
          <w:color w:val="000000"/>
          <w:lang w:eastAsia="it-IT"/>
        </w:rPr>
        <w:t>Per il rinnovo del Consiglio Provinciale di Benevento il prossimo 20 dicembre individuato il Corpo Elettorale; sono stati approvati gli Indici provvisori di ponderazione di ciascun voto ed il numero minimo degli Elettori Sottoscrittori delle Liste dei Candidati.</w:t>
      </w:r>
    </w:p>
    <w:p w:rsidR="003B79DD" w:rsidRPr="008A5828" w:rsidRDefault="003B79DD" w:rsidP="003B79DD">
      <w:pPr>
        <w:widowControl/>
        <w:autoSpaceDE/>
        <w:autoSpaceDN/>
        <w:spacing w:after="240"/>
        <w:jc w:val="both"/>
        <w:rPr>
          <w:rFonts w:eastAsia="Times New Roman"/>
          <w:color w:val="000000"/>
          <w:lang w:eastAsia="it-IT"/>
        </w:rPr>
      </w:pPr>
      <w:r w:rsidRPr="008A5828">
        <w:rPr>
          <w:rFonts w:ascii="Bookman Old Style" w:eastAsia="Times New Roman" w:hAnsi="Bookman Old Style" w:cs="Charter BT"/>
          <w:color w:val="000000"/>
          <w:lang w:eastAsia="it-IT"/>
        </w:rPr>
        <w:t xml:space="preserve">E’ quanto ha stabilito un provvedimento approvato dal Segretario Generale e Responsabile dell’Ufficio Elettorale Maria Luisa </w:t>
      </w:r>
      <w:proofErr w:type="spellStart"/>
      <w:r w:rsidRPr="008A5828">
        <w:rPr>
          <w:rFonts w:ascii="Bookman Old Style" w:eastAsia="Times New Roman" w:hAnsi="Bookman Old Style" w:cs="Charter BT"/>
          <w:color w:val="000000"/>
          <w:lang w:eastAsia="it-IT"/>
        </w:rPr>
        <w:t>Dovetto</w:t>
      </w:r>
      <w:proofErr w:type="spellEnd"/>
      <w:r w:rsidRPr="008A5828">
        <w:rPr>
          <w:rFonts w:ascii="Bookman Old Style" w:eastAsia="Times New Roman" w:hAnsi="Bookman Old Style" w:cs="Charter BT"/>
          <w:color w:val="000000"/>
          <w:lang w:eastAsia="it-IT"/>
        </w:rPr>
        <w:t xml:space="preserve"> che ha preso atto delle Attestazioni dei Segretari Comunali sugli Amministratori in carica presso ciascuno Comune e sulla base del Censimento della popolazione (pubblicato sulla Gazzetta Ufficiale del 3.3.2023), ha stabilito che gli Elettori sono 909 in rappresentanza di n. 251.980 abitanti, con l’esclusione dei due Comuni Commissariati: San Giorgio del Sannio e </w:t>
      </w:r>
      <w:proofErr w:type="spellStart"/>
      <w:r w:rsidRPr="008A5828">
        <w:rPr>
          <w:rFonts w:ascii="Bookman Old Style" w:eastAsia="Times New Roman" w:hAnsi="Bookman Old Style" w:cs="Charter BT"/>
          <w:color w:val="000000"/>
          <w:lang w:eastAsia="it-IT"/>
        </w:rPr>
        <w:t>Torrecuso</w:t>
      </w:r>
      <w:proofErr w:type="spellEnd"/>
      <w:r w:rsidRPr="008A5828">
        <w:rPr>
          <w:rFonts w:ascii="Bookman Old Style" w:eastAsia="Times New Roman" w:hAnsi="Bookman Old Style" w:cs="Charter BT"/>
          <w:color w:val="000000"/>
          <w:lang w:eastAsia="it-IT"/>
        </w:rPr>
        <w:t>.</w:t>
      </w:r>
    </w:p>
    <w:p w:rsidR="003B79DD" w:rsidRPr="008A5828" w:rsidRDefault="003B79DD" w:rsidP="003B79DD">
      <w:pPr>
        <w:widowControl/>
        <w:autoSpaceDE/>
        <w:autoSpaceDN/>
        <w:spacing w:after="240"/>
        <w:jc w:val="both"/>
        <w:rPr>
          <w:rFonts w:eastAsia="Times New Roman"/>
          <w:color w:val="000000"/>
          <w:lang w:eastAsia="it-IT"/>
        </w:rPr>
      </w:pPr>
      <w:r w:rsidRPr="008A5828">
        <w:rPr>
          <w:rFonts w:ascii="Bookman Old Style" w:eastAsia="Times New Roman" w:hAnsi="Bookman Old Style" w:cs="Charter BT"/>
          <w:color w:val="000000"/>
          <w:lang w:eastAsia="it-IT"/>
        </w:rPr>
        <w:t xml:space="preserve">A seconda della Fascia demografica questo di seguito è il prospetto degli aventi diritto al voto: </w:t>
      </w:r>
    </w:p>
    <w:p w:rsidR="003B79DD" w:rsidRPr="008A5828" w:rsidRDefault="003B79DD" w:rsidP="003B79DD">
      <w:pPr>
        <w:widowControl/>
        <w:autoSpaceDE/>
        <w:autoSpaceDN/>
        <w:spacing w:after="240"/>
        <w:jc w:val="both"/>
        <w:rPr>
          <w:rFonts w:eastAsia="Times New Roman"/>
          <w:color w:val="000000"/>
          <w:lang w:eastAsia="it-IT"/>
        </w:rPr>
      </w:pPr>
      <w:r w:rsidRPr="008A5828">
        <w:rPr>
          <w:rFonts w:ascii="Bookman Old Style" w:eastAsia="Times New Roman" w:hAnsi="Bookman Old Style" w:cs="Charter BT"/>
          <w:color w:val="000000"/>
          <w:lang w:eastAsia="it-IT"/>
        </w:rPr>
        <w:t xml:space="preserve">-Fascia E, Colore Verde, n. 1 Comune, n. 33 Elettori per 56.916 abitanti, Indice provvisorio: 684; </w:t>
      </w:r>
    </w:p>
    <w:p w:rsidR="003B79DD" w:rsidRPr="008A5828" w:rsidRDefault="003B79DD" w:rsidP="003B79DD">
      <w:pPr>
        <w:widowControl/>
        <w:autoSpaceDE/>
        <w:autoSpaceDN/>
        <w:spacing w:after="240"/>
        <w:jc w:val="both"/>
        <w:rPr>
          <w:rFonts w:eastAsia="Times New Roman"/>
          <w:color w:val="000000"/>
          <w:lang w:eastAsia="it-IT"/>
        </w:rPr>
      </w:pPr>
      <w:r w:rsidRPr="008A5828">
        <w:rPr>
          <w:rFonts w:ascii="Bookman Old Style" w:eastAsia="Times New Roman" w:hAnsi="Bookman Old Style" w:cs="Charter BT"/>
          <w:color w:val="000000"/>
          <w:lang w:eastAsia="it-IT"/>
        </w:rPr>
        <w:t>-Fascia D, Colore Rosso, n. 2 Comuni, n. 34 Elettori per 23.389 abitanti, Indice provvisorio: 273;</w:t>
      </w:r>
    </w:p>
    <w:p w:rsidR="003B79DD" w:rsidRPr="008A5828" w:rsidRDefault="003B79DD" w:rsidP="003B79DD">
      <w:pPr>
        <w:widowControl/>
        <w:autoSpaceDE/>
        <w:autoSpaceDN/>
        <w:spacing w:after="240"/>
        <w:jc w:val="both"/>
        <w:rPr>
          <w:rFonts w:eastAsia="Times New Roman"/>
          <w:color w:val="000000"/>
          <w:lang w:eastAsia="it-IT"/>
        </w:rPr>
      </w:pPr>
      <w:r w:rsidRPr="008A5828">
        <w:rPr>
          <w:rFonts w:ascii="Bookman Old Style" w:eastAsia="Times New Roman" w:hAnsi="Bookman Old Style" w:cs="Charter BT"/>
          <w:color w:val="000000"/>
          <w:lang w:eastAsia="it-IT"/>
        </w:rPr>
        <w:t>-Fascia C, Colore Grigio, n. 3 Comuni, n. 39 Elettori per 21.128 abitanti, Indice provvisorio: 214;</w:t>
      </w:r>
    </w:p>
    <w:p w:rsidR="003B79DD" w:rsidRPr="008A5828" w:rsidRDefault="003B79DD" w:rsidP="003B79DD">
      <w:pPr>
        <w:widowControl/>
        <w:autoSpaceDE/>
        <w:autoSpaceDN/>
        <w:spacing w:after="240"/>
        <w:jc w:val="both"/>
        <w:rPr>
          <w:rFonts w:eastAsia="Times New Roman"/>
          <w:color w:val="000000"/>
          <w:lang w:eastAsia="it-IT"/>
        </w:rPr>
      </w:pPr>
      <w:r w:rsidRPr="008A5828">
        <w:rPr>
          <w:rFonts w:ascii="Bookman Old Style" w:eastAsia="Times New Roman" w:hAnsi="Bookman Old Style" w:cs="Charter BT"/>
          <w:color w:val="000000"/>
          <w:lang w:eastAsia="it-IT"/>
        </w:rPr>
        <w:t>-Fascia B, Colore Arancione, n. 16 Comuni, n. 205 Elettori, per 60.708 abitanti, Indice provvisorio: 117;</w:t>
      </w:r>
    </w:p>
    <w:p w:rsidR="003B79DD" w:rsidRPr="008A5828" w:rsidRDefault="003B79DD" w:rsidP="003B79DD">
      <w:pPr>
        <w:widowControl/>
        <w:autoSpaceDE/>
        <w:autoSpaceDN/>
        <w:spacing w:after="240"/>
        <w:jc w:val="both"/>
        <w:rPr>
          <w:rFonts w:eastAsia="Times New Roman"/>
          <w:color w:val="000000"/>
          <w:lang w:eastAsia="it-IT"/>
        </w:rPr>
      </w:pPr>
      <w:r w:rsidRPr="008A5828">
        <w:rPr>
          <w:rFonts w:ascii="Bookman Old Style" w:eastAsia="Times New Roman" w:hAnsi="Bookman Old Style" w:cs="Charter BT"/>
          <w:color w:val="000000"/>
          <w:lang w:eastAsia="it-IT"/>
        </w:rPr>
        <w:t>-Fascia A, Colore Azzurro, n. 54 Comuni, n. 598 Elettori, per 89.839 abitanti, Indice provvisorio: 59.</w:t>
      </w:r>
    </w:p>
    <w:p w:rsidR="003B79DD" w:rsidRPr="008A5828" w:rsidRDefault="003B79DD" w:rsidP="003B79DD">
      <w:pPr>
        <w:widowControl/>
        <w:autoSpaceDE/>
        <w:autoSpaceDN/>
        <w:spacing w:after="240"/>
        <w:jc w:val="both"/>
        <w:rPr>
          <w:rFonts w:eastAsia="Times New Roman"/>
          <w:color w:val="000000"/>
          <w:lang w:eastAsia="it-IT"/>
        </w:rPr>
      </w:pPr>
      <w:r w:rsidRPr="008A5828">
        <w:rPr>
          <w:rFonts w:ascii="Bookman Old Style" w:eastAsia="Times New Roman" w:hAnsi="Bookman Old Style" w:cs="Charter BT"/>
          <w:color w:val="000000"/>
          <w:lang w:eastAsia="it-IT"/>
        </w:rPr>
        <w:t>Sulla scorta di tali dati il numero minimo di Elettori sottoscrittori delle Liste dei Candidati, pari al 5%, del totale degli Elettori aventi diritto, è stato quantificato in 45.</w:t>
      </w:r>
    </w:p>
    <w:p w:rsidR="003B79DD" w:rsidRPr="008A5828" w:rsidRDefault="003B79DD" w:rsidP="003B79DD">
      <w:pPr>
        <w:widowControl/>
        <w:autoSpaceDE/>
        <w:autoSpaceDN/>
        <w:jc w:val="both"/>
        <w:rPr>
          <w:rFonts w:eastAsia="Times New Roman"/>
          <w:color w:val="000000"/>
          <w:lang w:eastAsia="it-IT"/>
        </w:rPr>
      </w:pPr>
      <w:r w:rsidRPr="008A5828">
        <w:rPr>
          <w:rFonts w:ascii="Bookman Old Style" w:eastAsia="Times New Roman" w:hAnsi="Bookman Old Style" w:cs="Charter BT"/>
          <w:color w:val="000000"/>
          <w:lang w:eastAsia="it-IT"/>
        </w:rPr>
        <w:t xml:space="preserve">Secondo le vigenti disposizioni, </w:t>
      </w:r>
      <w:r w:rsidRPr="008A5828">
        <w:rPr>
          <w:rFonts w:ascii="Bookman Old Style" w:eastAsia="Times New Roman" w:hAnsi="Bookman Old Style"/>
          <w:color w:val="000000"/>
          <w:lang w:eastAsia="it-IT"/>
        </w:rPr>
        <w:t xml:space="preserve">il Corpo Elettorale e gli Indici provvisori di ponderazione possono essere ancora modificati sino alla data delle Elezioni sulla base di eventuali nuove Attestazioni dei Segretari Comunali per novità intervenute (decesso, dimissioni, scioglimento Consiglio). </w:t>
      </w:r>
    </w:p>
    <w:p w:rsidR="003B79DD" w:rsidRPr="008A5828" w:rsidRDefault="003B79DD" w:rsidP="003B79DD">
      <w:pPr>
        <w:widowControl/>
        <w:autoSpaceDE/>
        <w:autoSpaceDN/>
        <w:jc w:val="both"/>
        <w:rPr>
          <w:rFonts w:eastAsia="Times New Roman"/>
          <w:color w:val="000000"/>
          <w:lang w:eastAsia="it-IT"/>
        </w:rPr>
      </w:pPr>
      <w:r w:rsidRPr="008A5828">
        <w:rPr>
          <w:rFonts w:ascii="Bookman Old Style" w:eastAsia="Times New Roman" w:hAnsi="Bookman Old Style"/>
          <w:color w:val="000000"/>
          <w:lang w:eastAsia="it-IT"/>
        </w:rPr>
        <w:t> </w:t>
      </w:r>
    </w:p>
    <w:p w:rsidR="003B79DD" w:rsidRPr="008A5828" w:rsidRDefault="003B79DD" w:rsidP="003B79DD">
      <w:pPr>
        <w:widowControl/>
        <w:autoSpaceDE/>
        <w:autoSpaceDN/>
        <w:jc w:val="both"/>
        <w:rPr>
          <w:rFonts w:eastAsia="Times New Roman"/>
          <w:color w:val="000000"/>
          <w:lang w:eastAsia="it-IT"/>
        </w:rPr>
      </w:pPr>
      <w:r w:rsidRPr="008A5828">
        <w:rPr>
          <w:rFonts w:ascii="Bookman Old Style" w:eastAsia="Times New Roman" w:hAnsi="Bookman Old Style"/>
          <w:color w:val="000000"/>
          <w:lang w:eastAsia="it-IT"/>
        </w:rPr>
        <w:t xml:space="preserve">Il prossimo adempimento per questa tornata elettorale è la presentazione delle Candidature alla carica di Consigliere Provinciale. </w:t>
      </w:r>
    </w:p>
    <w:p w:rsidR="003B79DD" w:rsidRPr="008A5828" w:rsidRDefault="003B79DD" w:rsidP="003B79DD">
      <w:pPr>
        <w:widowControl/>
        <w:autoSpaceDE/>
        <w:autoSpaceDN/>
        <w:jc w:val="both"/>
        <w:rPr>
          <w:rFonts w:eastAsia="Times New Roman"/>
          <w:color w:val="000000"/>
          <w:lang w:eastAsia="it-IT"/>
        </w:rPr>
      </w:pPr>
      <w:r w:rsidRPr="008A5828">
        <w:rPr>
          <w:rFonts w:ascii="Bookman Old Style" w:eastAsia="Times New Roman" w:hAnsi="Bookman Old Style"/>
          <w:color w:val="000000"/>
          <w:lang w:eastAsia="it-IT"/>
        </w:rPr>
        <w:lastRenderedPageBreak/>
        <w:t xml:space="preserve">E’ stato stabilito dal Responsabile </w:t>
      </w:r>
      <w:proofErr w:type="spellStart"/>
      <w:r w:rsidRPr="008A5828">
        <w:rPr>
          <w:rFonts w:ascii="Bookman Old Style" w:eastAsia="Times New Roman" w:hAnsi="Bookman Old Style"/>
          <w:color w:val="000000"/>
          <w:lang w:eastAsia="it-IT"/>
        </w:rPr>
        <w:t>Dovetto</w:t>
      </w:r>
      <w:proofErr w:type="spellEnd"/>
      <w:r w:rsidRPr="008A5828">
        <w:rPr>
          <w:rFonts w:ascii="Bookman Old Style" w:eastAsia="Times New Roman" w:hAnsi="Bookman Old Style"/>
          <w:color w:val="000000"/>
          <w:lang w:eastAsia="it-IT"/>
        </w:rPr>
        <w:t xml:space="preserve"> che le Liste dovranno essere consegnate presso la sede istituzionale dell’Ente nella Stanza n. 9 del primo piano, lato ovest della Rocca dei Rettori nei giorni 30 novembre 2023, giovedì, dalle ore 8.00 alle ore 20.00 e 1° dicembre 2023, venerdì, dalle ore 8.00 alle ore 12.00.</w:t>
      </w:r>
    </w:p>
    <w:p w:rsidR="0037054A" w:rsidRDefault="0037054A" w:rsidP="003B79DD">
      <w:pPr>
        <w:jc w:val="both"/>
      </w:pPr>
    </w:p>
    <w:sectPr w:rsidR="0037054A" w:rsidSect="003705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harter BT">
    <w:altName w:val="Charte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3B79DD"/>
    <w:rsid w:val="00253342"/>
    <w:rsid w:val="00261DA6"/>
    <w:rsid w:val="0037054A"/>
    <w:rsid w:val="003B79DD"/>
    <w:rsid w:val="005206D6"/>
    <w:rsid w:val="006879BA"/>
    <w:rsid w:val="007839F0"/>
    <w:rsid w:val="00AD3083"/>
    <w:rsid w:val="00D445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79DD"/>
    <w:pPr>
      <w:widowControl w:val="0"/>
      <w:autoSpaceDE w:val="0"/>
      <w:autoSpaceDN w:val="0"/>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adelucia</dc:creator>
  <cp:lastModifiedBy>adelucia</cp:lastModifiedBy>
  <cp:revision>1</cp:revision>
  <dcterms:created xsi:type="dcterms:W3CDTF">2023-11-22T08:37:00Z</dcterms:created>
  <dcterms:modified xsi:type="dcterms:W3CDTF">2023-11-22T08:38:00Z</dcterms:modified>
</cp:coreProperties>
</file>