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CC" w:rsidRPr="00066B4C" w:rsidRDefault="00C057CC" w:rsidP="00C057CC">
      <w:pPr>
        <w:autoSpaceDE w:val="0"/>
        <w:adjustRightInd w:val="0"/>
        <w:spacing w:line="360" w:lineRule="auto"/>
        <w:jc w:val="both"/>
        <w:rPr>
          <w:rFonts w:ascii="Times New Roman" w:hAnsi="Times New Roman" w:cs="Times New Roman"/>
          <w:b/>
        </w:rPr>
      </w:pPr>
    </w:p>
    <w:p w:rsidR="00D26FAC" w:rsidRDefault="00D26FAC" w:rsidP="00D26FAC">
      <w:pPr>
        <w:jc w:val="center"/>
        <w:rPr>
          <w:rFonts w:ascii="Arial" w:hAnsi="Arial" w:cs="Arial"/>
          <w:b/>
          <w:bCs/>
          <w:sz w:val="36"/>
          <w:szCs w:val="36"/>
        </w:rPr>
      </w:pPr>
      <w:r>
        <w:rPr>
          <w:rFonts w:ascii="Arial" w:hAnsi="Arial" w:cs="Arial"/>
          <w:b/>
          <w:bCs/>
          <w:sz w:val="36"/>
          <w:szCs w:val="36"/>
        </w:rPr>
        <w:t>Provincia di Benevento</w:t>
      </w:r>
    </w:p>
    <w:p w:rsidR="00D26FAC" w:rsidRPr="006F4135" w:rsidRDefault="00D26FAC" w:rsidP="00D26FAC">
      <w:pPr>
        <w:widowControl w:val="0"/>
        <w:spacing w:before="80"/>
        <w:ind w:left="1304" w:hanging="1304"/>
        <w:jc w:val="center"/>
        <w:rPr>
          <w:rFonts w:ascii="Arial" w:hAnsi="Arial" w:cs="Arial"/>
          <w:b/>
          <w:bCs/>
          <w:sz w:val="36"/>
          <w:szCs w:val="36"/>
        </w:rPr>
      </w:pPr>
      <w:r w:rsidRPr="006F4135">
        <w:rPr>
          <w:rFonts w:ascii="Arial" w:hAnsi="Arial" w:cs="Arial"/>
          <w:b/>
          <w:bCs/>
          <w:sz w:val="36"/>
          <w:szCs w:val="36"/>
        </w:rPr>
        <w:t>STAZIONE UNICA APPALTANTE</w:t>
      </w:r>
    </w:p>
    <w:p w:rsidR="00D26FAC" w:rsidRDefault="00D26FAC" w:rsidP="00D26FAC">
      <w:pPr>
        <w:widowControl w:val="0"/>
        <w:spacing w:before="80"/>
        <w:ind w:left="1304" w:hanging="1304"/>
        <w:jc w:val="both"/>
        <w:rPr>
          <w:rFonts w:ascii="Arial" w:hAnsi="Arial" w:cs="Arial"/>
          <w:b/>
          <w:bCs/>
        </w:rPr>
      </w:pPr>
      <w:r>
        <w:rPr>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left:0;text-align:left;margin-left:72.25pt;margin-top:21.2pt;width:411.9pt;height:43.35pt;z-index:251663360" stroked="f">
            <v:textbox style="mso-next-textbox:#_x0000_s1029">
              <w:txbxContent>
                <w:p w:rsidR="00D26FAC" w:rsidRDefault="00D26FAC" w:rsidP="00D26FAC">
                  <w:pPr>
                    <w:pStyle w:val="Titolo6"/>
                    <w:jc w:val="center"/>
                    <w:rPr>
                      <w:rFonts w:ascii="Arial" w:eastAsiaTheme="minorHAnsi" w:hAnsi="Arial" w:cs="Arial"/>
                      <w:b/>
                      <w:i w:val="0"/>
                      <w:iCs w:val="0"/>
                      <w:color w:val="auto"/>
                    </w:rPr>
                  </w:pPr>
                  <w:r w:rsidRPr="00D26FAC">
                    <w:rPr>
                      <w:rFonts w:ascii="Arial" w:eastAsiaTheme="minorHAnsi" w:hAnsi="Arial" w:cs="Arial"/>
                      <w:b/>
                      <w:i w:val="0"/>
                      <w:iCs w:val="0"/>
                      <w:color w:val="auto"/>
                    </w:rPr>
                    <w:t xml:space="preserve">ALLEGATO 4 – NORME TECNICHE UTILIZZO </w:t>
                  </w:r>
                  <w:r>
                    <w:rPr>
                      <w:rFonts w:ascii="Arial" w:eastAsiaTheme="minorHAnsi" w:hAnsi="Arial" w:cs="Arial"/>
                      <w:b/>
                      <w:i w:val="0"/>
                      <w:iCs w:val="0"/>
                      <w:color w:val="auto"/>
                    </w:rPr>
                    <w:t>PIATTAFORMA TELEMATICA</w:t>
                  </w:r>
                </w:p>
                <w:p w:rsidR="00D26FAC" w:rsidRDefault="00D26FAC" w:rsidP="00D26FAC">
                  <w:pPr>
                    <w:pStyle w:val="Titolo6"/>
                    <w:rPr>
                      <w:rFonts w:ascii="Arial" w:eastAsiaTheme="minorHAnsi" w:hAnsi="Arial" w:cs="Arial"/>
                      <w:b/>
                      <w:i w:val="0"/>
                      <w:iCs w:val="0"/>
                      <w:color w:val="auto"/>
                    </w:rPr>
                  </w:pPr>
                </w:p>
                <w:p w:rsidR="00D26FAC" w:rsidRPr="00D26FAC" w:rsidRDefault="00D26FAC" w:rsidP="00D26FAC">
                  <w:pPr>
                    <w:pStyle w:val="Titolo6"/>
                    <w:rPr>
                      <w:rFonts w:ascii="Arial" w:eastAsiaTheme="minorHAnsi" w:hAnsi="Arial" w:cs="Arial"/>
                      <w:b/>
                      <w:i w:val="0"/>
                      <w:iCs w:val="0"/>
                      <w:color w:val="auto"/>
                    </w:rPr>
                  </w:pPr>
                  <w:r>
                    <w:rPr>
                      <w:rFonts w:ascii="Arial" w:eastAsiaTheme="minorHAnsi" w:hAnsi="Arial" w:cs="Arial"/>
                      <w:b/>
                      <w:i w:val="0"/>
                      <w:iCs w:val="0"/>
                      <w:color w:val="auto"/>
                    </w:rPr>
                    <w:t>PIATTAFORMA TELEMATICA PIATTAFRMA</w:t>
                  </w:r>
                  <w:r w:rsidRPr="00D26FAC">
                    <w:rPr>
                      <w:rFonts w:ascii="Arial" w:eastAsiaTheme="minorHAnsi" w:hAnsi="Arial" w:cs="Arial"/>
                      <w:b/>
                      <w:i w:val="0"/>
                      <w:iCs w:val="0"/>
                      <w:color w:val="auto"/>
                    </w:rPr>
                    <w:t>PIATTAFORMA</w:t>
                  </w:r>
                </w:p>
              </w:txbxContent>
            </v:textbox>
          </v:shape>
        </w:pict>
      </w:r>
    </w:p>
    <w:p w:rsidR="00D26FAC" w:rsidRDefault="00D26FAC" w:rsidP="00D26FAC">
      <w:pPr>
        <w:widowControl w:val="0"/>
        <w:spacing w:before="80"/>
        <w:ind w:left="1304" w:hanging="1304"/>
        <w:jc w:val="both"/>
        <w:rPr>
          <w:rFonts w:ascii="Arial" w:hAnsi="Arial" w:cs="Arial"/>
          <w:b/>
          <w:bCs/>
        </w:rPr>
      </w:pPr>
    </w:p>
    <w:p w:rsidR="00D26FAC" w:rsidRDefault="00D26FAC" w:rsidP="00D26FAC">
      <w:pPr>
        <w:widowControl w:val="0"/>
        <w:spacing w:before="80"/>
        <w:ind w:left="1304" w:hanging="1304"/>
        <w:jc w:val="both"/>
        <w:rPr>
          <w:rFonts w:ascii="Arial" w:hAnsi="Arial" w:cs="Arial"/>
          <w:b/>
          <w:bCs/>
        </w:rPr>
      </w:pPr>
    </w:p>
    <w:p w:rsidR="00D26FAC" w:rsidRDefault="00D26FAC" w:rsidP="00D26FAC">
      <w:pPr>
        <w:widowControl w:val="0"/>
        <w:spacing w:before="80"/>
        <w:ind w:left="1304" w:hanging="1304"/>
        <w:jc w:val="both"/>
        <w:rPr>
          <w:rFonts w:ascii="Arial" w:hAnsi="Arial" w:cs="Arial"/>
          <w:b/>
          <w:bC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9"/>
      </w:tblGrid>
      <w:tr w:rsidR="00D26FAC" w:rsidTr="00D26FAC">
        <w:trPr>
          <w:trHeight w:val="767"/>
          <w:jc w:val="center"/>
        </w:trPr>
        <w:tc>
          <w:tcPr>
            <w:tcW w:w="10179" w:type="dxa"/>
            <w:tcBorders>
              <w:top w:val="single" w:sz="4" w:space="0" w:color="auto"/>
              <w:left w:val="single" w:sz="4" w:space="0" w:color="auto"/>
              <w:bottom w:val="single" w:sz="4" w:space="0" w:color="auto"/>
              <w:right w:val="single" w:sz="4" w:space="0" w:color="auto"/>
            </w:tcBorders>
            <w:hideMark/>
          </w:tcPr>
          <w:p w:rsidR="00D26FAC" w:rsidRDefault="00D26FAC">
            <w:pPr>
              <w:jc w:val="both"/>
              <w:rPr>
                <w:rFonts w:ascii="Arial" w:hAnsi="Arial" w:cs="Arial"/>
                <w:b/>
                <w:sz w:val="24"/>
              </w:rPr>
            </w:pPr>
            <w:r>
              <w:rPr>
                <w:rFonts w:ascii="Arial" w:hAnsi="Arial" w:cs="Arial"/>
                <w:b/>
              </w:rPr>
              <w:t xml:space="preserve">PROCEDURA APERTA </w:t>
            </w:r>
            <w:proofErr w:type="spellStart"/>
            <w:r>
              <w:rPr>
                <w:rFonts w:ascii="Arial" w:hAnsi="Arial" w:cs="Arial"/>
                <w:b/>
              </w:rPr>
              <w:t>DI</w:t>
            </w:r>
            <w:proofErr w:type="spellEnd"/>
            <w:r>
              <w:rPr>
                <w:rFonts w:ascii="Arial" w:hAnsi="Arial" w:cs="Arial"/>
                <w:b/>
              </w:rPr>
              <w:t xml:space="preserve"> GARA PER L’AFFIDAMENTO DEL SERVIZIO </w:t>
            </w:r>
            <w:proofErr w:type="spellStart"/>
            <w:r>
              <w:rPr>
                <w:rFonts w:ascii="Arial" w:hAnsi="Arial" w:cs="Arial"/>
                <w:b/>
              </w:rPr>
              <w:t>DI</w:t>
            </w:r>
            <w:proofErr w:type="spellEnd"/>
            <w:r>
              <w:rPr>
                <w:rFonts w:ascii="Arial" w:hAnsi="Arial" w:cs="Arial"/>
                <w:b/>
              </w:rPr>
              <w:t xml:space="preserve"> MENSA SCOLASTICA  (PREPARAZIONE, DISTRIBUZIONE DEI PASTI E PULIZIA LOCALI, CON UTILIZZO DELLE STRUTTURE </w:t>
            </w:r>
            <w:proofErr w:type="spellStart"/>
            <w:r>
              <w:rPr>
                <w:rFonts w:ascii="Arial" w:hAnsi="Arial" w:cs="Arial"/>
                <w:b/>
              </w:rPr>
              <w:t>DI</w:t>
            </w:r>
            <w:proofErr w:type="spellEnd"/>
            <w:r>
              <w:rPr>
                <w:rFonts w:ascii="Arial" w:hAnsi="Arial" w:cs="Arial"/>
                <w:b/>
              </w:rPr>
              <w:t xml:space="preserve"> PROPRIETA’ COMUNALE) PRESSO L’ISTITUTO COMPRENSIVO SCOLASTICO “A. DE BLASIO” </w:t>
            </w:r>
            <w:proofErr w:type="spellStart"/>
            <w:r>
              <w:rPr>
                <w:rFonts w:ascii="Arial" w:hAnsi="Arial" w:cs="Arial"/>
                <w:b/>
              </w:rPr>
              <w:t>DI</w:t>
            </w:r>
            <w:proofErr w:type="spellEnd"/>
            <w:r>
              <w:rPr>
                <w:rFonts w:ascii="Arial" w:hAnsi="Arial" w:cs="Arial"/>
                <w:b/>
              </w:rPr>
              <w:t xml:space="preserve"> GUARDIA SANFRAMONDI. ANNI SCOLASTICI 2023/2024, 2024/2025, 2025/2026 CIG: A00F0E4ADB</w:t>
            </w:r>
          </w:p>
        </w:tc>
      </w:tr>
      <w:tr w:rsidR="00D26FAC" w:rsidTr="00D26FAC">
        <w:trPr>
          <w:trHeight w:val="767"/>
          <w:jc w:val="center"/>
        </w:trPr>
        <w:tc>
          <w:tcPr>
            <w:tcW w:w="10179" w:type="dxa"/>
            <w:tcBorders>
              <w:top w:val="single" w:sz="4" w:space="0" w:color="auto"/>
              <w:left w:val="single" w:sz="4" w:space="0" w:color="auto"/>
              <w:bottom w:val="single" w:sz="4" w:space="0" w:color="auto"/>
              <w:right w:val="single" w:sz="4" w:space="0" w:color="auto"/>
            </w:tcBorders>
          </w:tcPr>
          <w:p w:rsidR="00D26FAC" w:rsidRDefault="00D26FAC">
            <w:pPr>
              <w:jc w:val="center"/>
              <w:rPr>
                <w:rFonts w:ascii="Arial" w:eastAsia="Times New Roman" w:hAnsi="Arial" w:cs="Arial"/>
                <w:b/>
                <w:sz w:val="24"/>
                <w:szCs w:val="20"/>
              </w:rPr>
            </w:pPr>
          </w:p>
          <w:p w:rsidR="00D26FAC" w:rsidRDefault="00D26FAC">
            <w:pPr>
              <w:jc w:val="center"/>
              <w:rPr>
                <w:rFonts w:ascii="Arial" w:hAnsi="Arial" w:cs="Arial"/>
                <w:b/>
                <w:sz w:val="24"/>
              </w:rPr>
            </w:pPr>
            <w:r>
              <w:rPr>
                <w:rFonts w:ascii="Arial" w:hAnsi="Arial" w:cs="Arial"/>
                <w:b/>
              </w:rPr>
              <w:t>Criterio: offerta economicamente più vantaggiosa ai sensi dell’art.108, del Decreto Legislativo n. 36 del 2023</w:t>
            </w:r>
          </w:p>
        </w:tc>
      </w:tr>
    </w:tbl>
    <w:p w:rsidR="0053333F" w:rsidRDefault="00BF1B74" w:rsidP="00D26FAC">
      <w:pPr>
        <w:autoSpaceDE w:val="0"/>
        <w:autoSpaceDN w:val="0"/>
        <w:adjustRightInd w:val="0"/>
        <w:spacing w:after="0" w:line="360" w:lineRule="auto"/>
        <w:jc w:val="right"/>
        <w:rPr>
          <w:rFonts w:ascii="Arial" w:hAnsi="Arial" w:cs="Arial"/>
          <w:b/>
          <w:iCs/>
          <w:caps/>
        </w:rPr>
      </w:pPr>
      <w:r w:rsidRPr="00BF1B74">
        <w:rPr>
          <w:rFonts w:ascii="Times New Roman" w:hAnsi="Times New Roman" w:cs="Times New Roman"/>
          <w:b/>
          <w:bCs/>
          <w:noProof/>
          <w:sz w:val="32"/>
          <w:szCs w:val="32"/>
        </w:rPr>
        <w:pict>
          <v:line id="Connettore diritto 124" o:spid="_x0000_s1026" style="position:absolute;left:0;text-align:left;flip:y;z-index:251661312;visibility:visible;mso-position-horizontal-relative:text;mso-position-vertical-relative:text"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76009E" w:rsidRPr="00B479CB" w:rsidRDefault="0076009E" w:rsidP="00B479CB">
      <w:pPr>
        <w:autoSpaceDE w:val="0"/>
        <w:autoSpaceDN w:val="0"/>
        <w:adjustRightInd w:val="0"/>
        <w:spacing w:after="0" w:line="360" w:lineRule="auto"/>
        <w:jc w:val="right"/>
        <w:rPr>
          <w:rFonts w:ascii="Times New Roman" w:hAnsi="Times New Roman" w:cs="Times New Roman"/>
          <w:b/>
          <w:sz w:val="28"/>
          <w:szCs w:val="28"/>
        </w:rPr>
      </w:pP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lastRenderedPageBreak/>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5"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6"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74AD6"/>
    <w:rsid w:val="0052311C"/>
    <w:rsid w:val="00525BDD"/>
    <w:rsid w:val="0053333F"/>
    <w:rsid w:val="0056050C"/>
    <w:rsid w:val="005F18F9"/>
    <w:rsid w:val="006174FE"/>
    <w:rsid w:val="006510A4"/>
    <w:rsid w:val="006679F2"/>
    <w:rsid w:val="00694EF3"/>
    <w:rsid w:val="006A173D"/>
    <w:rsid w:val="006F4135"/>
    <w:rsid w:val="0072627A"/>
    <w:rsid w:val="0076009E"/>
    <w:rsid w:val="007731FC"/>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1B74"/>
    <w:rsid w:val="00BF7CED"/>
    <w:rsid w:val="00C04912"/>
    <w:rsid w:val="00C057CC"/>
    <w:rsid w:val="00C50AB3"/>
    <w:rsid w:val="00CD4989"/>
    <w:rsid w:val="00D26FAC"/>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53333F"/>
    <w:pPr>
      <w:keepNext/>
      <w:keepLines/>
      <w:spacing w:before="200" w:after="0"/>
      <w:outlineLvl w:val="2"/>
    </w:pPr>
    <w:rPr>
      <w:rFonts w:asciiTheme="majorHAnsi" w:eastAsiaTheme="majorEastAsia" w:hAnsiTheme="majorHAnsi" w:cstheme="majorBidi"/>
      <w:b/>
      <w:bCs/>
      <w:color w:val="5B9BD5" w:themeColor="accent1"/>
    </w:rPr>
  </w:style>
  <w:style w:type="paragraph" w:styleId="Titolo6">
    <w:name w:val="heading 6"/>
    <w:basedOn w:val="Normale"/>
    <w:next w:val="Normale"/>
    <w:link w:val="Titolo6Carattere"/>
    <w:uiPriority w:val="9"/>
    <w:semiHidden/>
    <w:unhideWhenUsed/>
    <w:qFormat/>
    <w:rsid w:val="0053333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qFormat/>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 w:type="character" w:customStyle="1" w:styleId="Titolo3Carattere">
    <w:name w:val="Titolo 3 Carattere"/>
    <w:basedOn w:val="Carpredefinitoparagrafo"/>
    <w:link w:val="Titolo3"/>
    <w:uiPriority w:val="9"/>
    <w:semiHidden/>
    <w:rsid w:val="0053333F"/>
    <w:rPr>
      <w:rFonts w:asciiTheme="majorHAnsi" w:eastAsiaTheme="majorEastAsia" w:hAnsiTheme="majorHAnsi" w:cstheme="majorBidi"/>
      <w:b/>
      <w:bCs/>
      <w:color w:val="5B9BD5" w:themeColor="accent1"/>
    </w:rPr>
  </w:style>
  <w:style w:type="character" w:customStyle="1" w:styleId="Titolo6Carattere">
    <w:name w:val="Titolo 6 Carattere"/>
    <w:basedOn w:val="Carpredefinitoparagrafo"/>
    <w:link w:val="Titolo6"/>
    <w:uiPriority w:val="9"/>
    <w:semiHidden/>
    <w:rsid w:val="0053333F"/>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63682325">
      <w:bodyDiv w:val="1"/>
      <w:marLeft w:val="0"/>
      <w:marRight w:val="0"/>
      <w:marTop w:val="0"/>
      <w:marBottom w:val="0"/>
      <w:divBdr>
        <w:top w:val="none" w:sz="0" w:space="0" w:color="auto"/>
        <w:left w:val="none" w:sz="0" w:space="0" w:color="auto"/>
        <w:bottom w:val="none" w:sz="0" w:space="0" w:color="auto"/>
        <w:right w:val="none" w:sz="0" w:space="0" w:color="auto"/>
      </w:divBdr>
    </w:div>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209950555">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ncia-benevento.acquistitelematici.it" TargetMode="External"/><Relationship Id="rId5" Type="http://schemas.openxmlformats.org/officeDocument/2006/relationships/hyperlink" Target="https://provincia-benevento.acquistitelemat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2438</Words>
  <Characters>13901</Characters>
  <Application>Microsoft Office Word</Application>
  <DocSecurity>0</DocSecurity>
  <Lines>115</Lines>
  <Paragraphs>32</Paragraphs>
  <ScaleCrop>false</ScaleCrop>
  <Company>Microsoft</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Augusto Travaglione</cp:lastModifiedBy>
  <cp:revision>38</cp:revision>
  <dcterms:created xsi:type="dcterms:W3CDTF">2020-11-29T11:46:00Z</dcterms:created>
  <dcterms:modified xsi:type="dcterms:W3CDTF">2023-11-30T16:01:00Z</dcterms:modified>
</cp:coreProperties>
</file>