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8C" w:rsidRDefault="00EF118C" w:rsidP="00EF118C">
      <w:pPr>
        <w:tabs>
          <w:tab w:val="left" w:pos="1418"/>
        </w:tabs>
        <w:ind w:left="1418" w:right="-2"/>
        <w:jc w:val="center"/>
        <w:rPr>
          <w:rFonts w:asciiTheme="majorHAnsi" w:hAnsiTheme="majorHAnsi" w:cs="Calibri"/>
          <w:b/>
          <w:sz w:val="52"/>
          <w:szCs w:val="48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-103505</wp:posOffset>
            </wp:positionV>
            <wp:extent cx="1000125" cy="977900"/>
            <wp:effectExtent l="19050" t="0" r="952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77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Theme="majorHAnsi" w:hAnsiTheme="majorHAnsi" w:cs="Calibri"/>
          <w:b/>
          <w:sz w:val="52"/>
          <w:szCs w:val="48"/>
        </w:rPr>
        <w:t>PROVINCIA  DI  BENEVENTO</w:t>
      </w:r>
    </w:p>
    <w:p w:rsidR="00EF118C" w:rsidRDefault="00EF118C" w:rsidP="00EF118C">
      <w:pPr>
        <w:pStyle w:val="TestoModulisticaCAP1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18C" w:rsidRDefault="00EF118C" w:rsidP="003F074F">
      <w:pPr>
        <w:pStyle w:val="TestoModulisticaCAP16"/>
        <w:jc w:val="center"/>
        <w:rPr>
          <w:rFonts w:ascii="Palatino Linotype" w:hAnsi="Palatino Linotype" w:cs="Times New Roman"/>
          <w:b/>
          <w:bCs/>
          <w:sz w:val="24"/>
          <w:szCs w:val="24"/>
        </w:rPr>
      </w:pPr>
    </w:p>
    <w:p w:rsidR="003F074F" w:rsidRPr="001855DC" w:rsidRDefault="006F5A4F" w:rsidP="003F074F">
      <w:pPr>
        <w:pStyle w:val="TestoModulisticaCAP16"/>
        <w:jc w:val="center"/>
        <w:rPr>
          <w:rFonts w:ascii="Palatino Linotype" w:hAnsi="Palatino Linotype" w:cs="Times New Roman"/>
          <w:b/>
          <w:bCs/>
          <w:sz w:val="24"/>
          <w:szCs w:val="24"/>
        </w:rPr>
      </w:pPr>
      <w:r w:rsidRPr="001855DC">
        <w:rPr>
          <w:rFonts w:ascii="Palatino Linotype" w:hAnsi="Palatino Linotype" w:cs="Times New Roman"/>
          <w:b/>
          <w:bCs/>
          <w:sz w:val="24"/>
          <w:szCs w:val="24"/>
        </w:rPr>
        <w:t>S</w:t>
      </w:r>
      <w:r w:rsidR="003F074F" w:rsidRPr="001855DC">
        <w:rPr>
          <w:rFonts w:ascii="Palatino Linotype" w:hAnsi="Palatino Linotype" w:cs="Times New Roman"/>
          <w:b/>
          <w:bCs/>
          <w:sz w:val="24"/>
          <w:szCs w:val="24"/>
        </w:rPr>
        <w:t>CRITTURA PRIVATA PER IL CONFERIMENTO</w:t>
      </w:r>
    </w:p>
    <w:p w:rsidR="003F074F" w:rsidRPr="001855DC" w:rsidRDefault="003F074F" w:rsidP="003F074F">
      <w:pPr>
        <w:pStyle w:val="TestoModulisticaCAP16"/>
        <w:jc w:val="center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b/>
          <w:bCs/>
          <w:sz w:val="24"/>
          <w:szCs w:val="24"/>
        </w:rPr>
        <w:t>DI INCARICO DI SERVIZI LEGALI ESCLUSI</w:t>
      </w:r>
      <w:r w:rsidR="003E4D7C" w:rsidRPr="001855DC">
        <w:rPr>
          <w:rFonts w:ascii="Palatino Linotype" w:hAnsi="Palatino Linotype" w:cs="Times New Roman"/>
          <w:sz w:val="24"/>
          <w:szCs w:val="24"/>
        </w:rPr>
        <w:t> </w:t>
      </w:r>
    </w:p>
    <w:p w:rsidR="003F074F" w:rsidRPr="001855DC" w:rsidRDefault="003F074F" w:rsidP="003F074F">
      <w:pPr>
        <w:pStyle w:val="TestoModulisticaCAP16"/>
        <w:jc w:val="center"/>
        <w:rPr>
          <w:rFonts w:ascii="Palatino Linotype" w:hAnsi="Palatino Linotype" w:cs="Times New Roman"/>
          <w:b/>
          <w:bCs/>
          <w:sz w:val="24"/>
          <w:szCs w:val="24"/>
          <w:vertAlign w:val="superscript"/>
        </w:rPr>
      </w:pP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In data ... presso la residenza dell’Amministrazione ..., sita in via ... n. ..., si sono costituiti: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DA UNA PARTE: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 xml:space="preserve">- l’Amministrazione </w:t>
      </w:r>
      <w:r w:rsidR="003E4D7C" w:rsidRPr="001855DC">
        <w:rPr>
          <w:rFonts w:ascii="Palatino Linotype" w:hAnsi="Palatino Linotype" w:cs="Times New Roman"/>
          <w:sz w:val="24"/>
          <w:szCs w:val="24"/>
        </w:rPr>
        <w:t>Provinciale di Benevento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, C.F. ..., 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pec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 ..., rappresentata da ... (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 xml:space="preserve">in qualità di </w:t>
      </w:r>
      <w:r w:rsidR="003E4D7C" w:rsidRPr="001855DC">
        <w:rPr>
          <w:rFonts w:ascii="Palatino Linotype" w:hAnsi="Palatino Linotype" w:cs="Times New Roman"/>
          <w:i/>
          <w:iCs/>
          <w:sz w:val="24"/>
          <w:szCs w:val="24"/>
        </w:rPr>
        <w:t xml:space="preserve"> 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Dirigente</w:t>
      </w:r>
      <w:r w:rsidR="003E4D7C" w:rsidRPr="001855DC">
        <w:rPr>
          <w:rFonts w:ascii="Palatino Linotype" w:hAnsi="Palatino Linotype" w:cs="Times New Roman"/>
          <w:i/>
          <w:iCs/>
          <w:sz w:val="24"/>
          <w:szCs w:val="24"/>
        </w:rPr>
        <w:t xml:space="preserve">  del I S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ettore ...</w:t>
      </w:r>
      <w:r w:rsidRPr="001855DC">
        <w:rPr>
          <w:rFonts w:ascii="Palatino Linotype" w:hAnsi="Palatino Linotype" w:cs="Times New Roman"/>
          <w:sz w:val="24"/>
          <w:szCs w:val="24"/>
        </w:rPr>
        <w:t>), nato a ... il ... (C.F. ...), in qualità di ..., autorizzato con atto n. ... del ..., efficace, ricevuta l’informativa e prestato consenso al trattamento dei dati personali, ai sensi del Regolamento UE 679/2016 e d.lgs. n. 196/2003 (allegata al presente contratto), nonché l’informativa, ai sensi degli artt. 2 e 3 del d.lgs. n. 56/2004 in materia di antiriciclaggio (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reso informato della possibilità di ricorrere al procedimento di mediazione, di cui al d.lgs. n. 28/2010</w:t>
      </w:r>
      <w:r w:rsidRPr="001855DC">
        <w:rPr>
          <w:rFonts w:ascii="Palatino Linotype" w:hAnsi="Palatino Linotype" w:cs="Times New Roman"/>
          <w:sz w:val="24"/>
          <w:szCs w:val="24"/>
        </w:rPr>
        <w:t>), di seguito denominata “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Amministrazione</w:t>
      </w:r>
      <w:r w:rsidRPr="001855DC">
        <w:rPr>
          <w:rFonts w:ascii="Palatino Linotype" w:hAnsi="Palatino Linotype" w:cs="Times New Roman"/>
          <w:sz w:val="24"/>
          <w:szCs w:val="24"/>
        </w:rPr>
        <w:t>”;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DA UNA PARTE: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 xml:space="preserve">- l’Avv. ... (C.F. ...), con lo studio sito a ... (...) in via ... n. ..., C.F. ... – P. IVA ..., 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e-mail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 ..., 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pec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 ..., assicurato con polizza n. ..., emessa da ... per un massimale di massimale di € ... (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euro ...</w:t>
      </w:r>
      <w:r w:rsidRPr="001855DC">
        <w:rPr>
          <w:rFonts w:ascii="Palatino Linotype" w:hAnsi="Palatino Linotype" w:cs="Times New Roman"/>
          <w:sz w:val="24"/>
          <w:szCs w:val="24"/>
        </w:rPr>
        <w:t>), iscritto all’Ordine degli Avvocati di ..., di seguito denominato “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Avvocato</w:t>
      </w:r>
      <w:r w:rsidRPr="001855DC">
        <w:rPr>
          <w:rFonts w:ascii="Palatino Linotype" w:hAnsi="Palatino Linotype" w:cs="Times New Roman"/>
          <w:sz w:val="24"/>
          <w:szCs w:val="24"/>
        </w:rPr>
        <w:t>”.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PREMESSO CHE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– l’incarico di cui trattasi ha natura giudiziale, vertendosi in ipotesi di ricorso promosso avanti il ..., da parte di ... (n. ... RG., ...), e ove l’Amministrazione viene indicata come Amministrazione resistente (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oppure, in relazione alla deliberazione di costituzione in giudizio n. ... del ..., efficace</w:t>
      </w:r>
      <w:r w:rsidRPr="001855DC">
        <w:rPr>
          <w:rFonts w:ascii="Palatino Linotype" w:hAnsi="Palatino Linotype" w:cs="Times New Roman"/>
          <w:sz w:val="24"/>
          <w:szCs w:val="24"/>
        </w:rPr>
        <w:t>);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 xml:space="preserve">– l’incarico fa seguito alla determinazione n. ... del ..., efficace, con la quale si procede all’affidamento 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ex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 art. </w:t>
      </w:r>
      <w:r w:rsidR="003E4D7C" w:rsidRPr="001855DC">
        <w:rPr>
          <w:rFonts w:ascii="Palatino Linotype" w:hAnsi="Palatino Linotype" w:cs="Times New Roman"/>
          <w:sz w:val="24"/>
          <w:szCs w:val="24"/>
        </w:rPr>
        <w:t xml:space="preserve"> 56 comma 1 lett. h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 ... (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indicare punto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) del d.lgs. n. </w:t>
      </w:r>
      <w:r w:rsidR="003E4D7C" w:rsidRPr="001855DC">
        <w:rPr>
          <w:rFonts w:ascii="Palatino Linotype" w:hAnsi="Palatino Linotype" w:cs="Times New Roman"/>
          <w:sz w:val="24"/>
          <w:szCs w:val="24"/>
        </w:rPr>
        <w:t>36/2023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 e si approvava lo schema del presente incarico di servizi legali, il tutto pubblicato sul sito istituzionale, sez. “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Amministrazione Trasparente</w:t>
      </w:r>
      <w:r w:rsidRPr="001855DC">
        <w:rPr>
          <w:rFonts w:ascii="Palatino Linotype" w:hAnsi="Palatino Linotype" w:cs="Times New Roman"/>
          <w:sz w:val="24"/>
          <w:szCs w:val="24"/>
        </w:rPr>
        <w:t>” (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ex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 art. 37 del d.lgs. n. 33/2013);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– il d.P.R. 16 aprile 2013, n. 62 che stabilisce all’art. 2, comma 3 che le Pubbliche Amministrazioni «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estendono, per quanto compatibili, gli obblighi di condotta previsti dal presente codice a tutti i collaboratori o consulenti, con qualsiasi tipologia di contratto o incarico...</w:t>
      </w:r>
      <w:r w:rsidRPr="001855DC">
        <w:rPr>
          <w:rFonts w:ascii="Palatino Linotype" w:hAnsi="Palatino Linotype" w:cs="Times New Roman"/>
          <w:sz w:val="24"/>
          <w:szCs w:val="24"/>
        </w:rPr>
        <w:t>»;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pacing w:val="-4"/>
          <w:sz w:val="24"/>
          <w:szCs w:val="24"/>
        </w:rPr>
      </w:pPr>
      <w:r w:rsidRPr="001855DC">
        <w:rPr>
          <w:rFonts w:ascii="Palatino Linotype" w:hAnsi="Palatino Linotype" w:cs="Times New Roman"/>
          <w:spacing w:val="-4"/>
          <w:sz w:val="24"/>
          <w:szCs w:val="24"/>
        </w:rPr>
        <w:t>– il Codice Deontologico Forense ed in particolare gli obblighi informativi previsti dall’art. 27.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Dato atto che l’avvocato con la sottoscrizione dichiara espressamente l’insussistenza di conflitti di interessi, anche potenziali con l’Amministrazione e di cause di incompatibilità e inconferibilità, di cui al d.lgs. 8 aprile 2013 n. 39.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</w:p>
    <w:p w:rsidR="003F074F" w:rsidRPr="001855DC" w:rsidRDefault="003F074F" w:rsidP="003F074F">
      <w:pPr>
        <w:pStyle w:val="TestoModulisticaCAP16"/>
        <w:jc w:val="center"/>
        <w:rPr>
          <w:rFonts w:ascii="Palatino Linotype" w:hAnsi="Palatino Linotype" w:cs="Times New Roman"/>
          <w:spacing w:val="-4"/>
          <w:sz w:val="24"/>
          <w:szCs w:val="24"/>
        </w:rPr>
      </w:pPr>
      <w:r w:rsidRPr="001855DC">
        <w:rPr>
          <w:rFonts w:ascii="Palatino Linotype" w:hAnsi="Palatino Linotype" w:cs="Times New Roman"/>
          <w:spacing w:val="-4"/>
          <w:sz w:val="24"/>
          <w:szCs w:val="24"/>
        </w:rPr>
        <w:t>LE PARTI COME SOPRA COSTITUITE CONVENGONO E STIPULANO QUANTO SEGUE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b/>
          <w:bCs/>
          <w:sz w:val="24"/>
          <w:szCs w:val="24"/>
        </w:rPr>
      </w:pP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b/>
          <w:bCs/>
          <w:sz w:val="24"/>
          <w:szCs w:val="24"/>
        </w:rPr>
      </w:pPr>
      <w:r w:rsidRPr="001855DC">
        <w:rPr>
          <w:rFonts w:ascii="Palatino Linotype" w:hAnsi="Palatino Linotype" w:cs="Times New Roman"/>
          <w:b/>
          <w:bCs/>
          <w:sz w:val="24"/>
          <w:szCs w:val="24"/>
        </w:rPr>
        <w:t>Art. 1 – Efficacia delle premesse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1.1. Le premesse costituiscono parte integrante e sostanziale della presente scrittura privata.</w:t>
      </w:r>
    </w:p>
    <w:p w:rsidR="003F074F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1.2. L’Amministrazione conferma di aver ricevuto le informative e prestato consenso al trattamento dei dati.</w:t>
      </w:r>
    </w:p>
    <w:p w:rsidR="00C90D0C" w:rsidRPr="001855DC" w:rsidRDefault="00C90D0C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b/>
          <w:bCs/>
          <w:sz w:val="24"/>
          <w:szCs w:val="24"/>
        </w:rPr>
      </w:pPr>
      <w:r w:rsidRPr="001855DC">
        <w:rPr>
          <w:rFonts w:ascii="Palatino Linotype" w:hAnsi="Palatino Linotype" w:cs="Times New Roman"/>
          <w:b/>
          <w:bCs/>
          <w:sz w:val="24"/>
          <w:szCs w:val="24"/>
        </w:rPr>
        <w:lastRenderedPageBreak/>
        <w:t>Art. 2 – Conferimento ed incarico dell’oggetto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2.1. L’Amministrazione, come sopra costituita, conferisce all’Avvocato ... del Foro di ..., iscritto nella sez. ... dell’Albo per i «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servizi legali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», approvato con determinazione n. ... del ..., in adempimento dell’atto n. ... del ..., esecutivo </w:t>
      </w:r>
      <w:r w:rsidR="003E4D7C" w:rsidRPr="001855DC">
        <w:rPr>
          <w:rFonts w:ascii="Palatino Linotype" w:hAnsi="Palatino Linotype" w:cs="Times New Roman"/>
          <w:sz w:val="24"/>
          <w:szCs w:val="24"/>
        </w:rPr>
        <w:t>ed efficace a termini di legge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, l’incarico a rappresentare, assistere e difendere </w:t>
      </w:r>
      <w:r w:rsidRPr="001534BA">
        <w:rPr>
          <w:rFonts w:ascii="Palatino Linotype" w:hAnsi="Palatino Linotype" w:cs="Times New Roman"/>
          <w:sz w:val="24"/>
          <w:szCs w:val="24"/>
        </w:rPr>
        <w:t>l’Amministrazione</w:t>
      </w:r>
      <w:r w:rsidR="001534BA" w:rsidRPr="001534BA">
        <w:rPr>
          <w:rFonts w:ascii="Palatino Linotype" w:hAnsi="Palatino Linotype" w:cs="Times New Roman"/>
          <w:sz w:val="24"/>
          <w:szCs w:val="24"/>
        </w:rPr>
        <w:t xml:space="preserve"> </w:t>
      </w:r>
      <w:r w:rsidR="001534BA" w:rsidRPr="00483A19">
        <w:rPr>
          <w:rFonts w:ascii="Palatino Linotype" w:hAnsi="Palatino Linotype" w:cs="Times New Roman"/>
          <w:sz w:val="24"/>
          <w:szCs w:val="24"/>
        </w:rPr>
        <w:t>Provinciale di Benevento</w:t>
      </w:r>
      <w:r w:rsidR="001534BA">
        <w:rPr>
          <w:rFonts w:ascii="Palatino Linotype" w:hAnsi="Palatino Linotype" w:cs="Times New Roman"/>
          <w:sz w:val="24"/>
          <w:szCs w:val="24"/>
        </w:rPr>
        <w:t xml:space="preserve"> </w:t>
      </w:r>
      <w:r w:rsidRPr="001855DC">
        <w:rPr>
          <w:rFonts w:ascii="Palatino Linotype" w:hAnsi="Palatino Linotype" w:cs="Times New Roman"/>
          <w:sz w:val="24"/>
          <w:szCs w:val="24"/>
        </w:rPr>
        <w:t>nella vertenza giudiziale/stragiudiziale contro ... ad oggetto ... ed avente valore ... (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oppure, vertendosi in ipotesi di ricorso promosso avanti il ... per il ... da parte di ...., n. .../... RG., .. Sez., e ove l’Amministrazione viene indicata come amministrazione resistente</w:t>
      </w:r>
      <w:r w:rsidRPr="001855DC">
        <w:rPr>
          <w:rFonts w:ascii="Palatino Linotype" w:hAnsi="Palatino Linotype" w:cs="Times New Roman"/>
          <w:sz w:val="24"/>
          <w:szCs w:val="24"/>
        </w:rPr>
        <w:t>). In modo specifico l’Avvocato si obbliga: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– a unificare o richiedere l’unificazione di giudizi aventi lo stesso oggetto;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– a informare costantemente l’Amministrazione sull’andamento del giudizio, per ogni fase e/o udienza, compresa l’eventuale sostituzione;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– a trasmettere ogni atto o memoria o corrispondenza riferita agli atti di giudizio, anche con l’Avvocato della controparte;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– a rendere per iscritto, alla conclusione di ogni fase o grado di giudizio un parere all’Amministrazione in ordine alla sussistenza o meno di motivi per proporre gravame o resistere negli eventuali gradi successivi di giudizio;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– a impugnare i provvedimenti emanati nel contenzioso assegnato, ovvero a transare, previa tempestiva informazione scritta e autorizzazione dell’Amministrazione</w:t>
      </w:r>
      <w:r w:rsidR="00FA1ED6">
        <w:rPr>
          <w:rFonts w:ascii="Palatino Linotype" w:hAnsi="Palatino Linotype" w:cs="Times New Roman"/>
          <w:sz w:val="24"/>
          <w:szCs w:val="24"/>
        </w:rPr>
        <w:t xml:space="preserve">, </w:t>
      </w:r>
      <w:r w:rsidR="00FA1ED6" w:rsidRPr="00483A19">
        <w:rPr>
          <w:rFonts w:ascii="Palatino Linotype" w:hAnsi="Palatino Linotype" w:cs="Times New Roman"/>
          <w:sz w:val="24"/>
          <w:szCs w:val="24"/>
        </w:rPr>
        <w:t>precisandone – nel caso – i motivi e i crismi di convenienza ed opportunità processuale ed economica per l’Ente</w:t>
      </w:r>
      <w:r w:rsidRPr="00483A19">
        <w:rPr>
          <w:rFonts w:ascii="Palatino Linotype" w:hAnsi="Palatino Linotype" w:cs="Times New Roman"/>
          <w:sz w:val="24"/>
          <w:szCs w:val="24"/>
        </w:rPr>
        <w:t>;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 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– a garantire la propria personale prestazione, indicando per iscritto eventuale sostituzione in udienza o similare o equivalente;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– a garantire la reperibilità anche attraverso la comunicazione di apposito numero di telefono cellulare o recapito;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– a presentare la parcella per ogni fase o grado di giudizio;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– a informare tempestivamente di tutte le fasi di giudizio e trasmettere tutti i documenti attinenti e/o a fascicolo;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– a non richiedere il pagamento di compensi non autorizzati dall’Amministrazione in forma scritta.</w:t>
      </w:r>
    </w:p>
    <w:p w:rsidR="003E4D7C" w:rsidRPr="001855DC" w:rsidRDefault="003E4D7C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 xml:space="preserve">- a provvedere alla fase di esecuzione </w:t>
      </w:r>
      <w:r w:rsidR="00441825" w:rsidRPr="001855DC">
        <w:rPr>
          <w:rFonts w:ascii="Palatino Linotype" w:hAnsi="Palatino Linotype" w:cs="Times New Roman"/>
          <w:sz w:val="24"/>
          <w:szCs w:val="24"/>
        </w:rPr>
        <w:t xml:space="preserve">in caso di esito positivo per il recupero delle spese giudiziali e di </w:t>
      </w:r>
      <w:r w:rsidR="001534BA" w:rsidRPr="00483A19">
        <w:rPr>
          <w:rFonts w:ascii="Palatino Linotype" w:hAnsi="Palatino Linotype" w:cs="Times New Roman"/>
          <w:color w:val="auto"/>
          <w:sz w:val="24"/>
          <w:szCs w:val="24"/>
        </w:rPr>
        <w:t>tutto</w:t>
      </w:r>
      <w:r w:rsidR="001534BA">
        <w:rPr>
          <w:rFonts w:ascii="Palatino Linotype" w:hAnsi="Palatino Linotype" w:cs="Times New Roman"/>
          <w:sz w:val="24"/>
          <w:szCs w:val="24"/>
        </w:rPr>
        <w:t xml:space="preserve"> </w:t>
      </w:r>
      <w:r w:rsidR="00441825" w:rsidRPr="001855DC">
        <w:rPr>
          <w:rFonts w:ascii="Palatino Linotype" w:hAnsi="Palatino Linotype" w:cs="Times New Roman"/>
          <w:sz w:val="24"/>
          <w:szCs w:val="24"/>
        </w:rPr>
        <w:t xml:space="preserve">quanto riconosciuto in favore della </w:t>
      </w:r>
      <w:r w:rsidR="001534BA">
        <w:rPr>
          <w:rFonts w:ascii="Palatino Linotype" w:hAnsi="Palatino Linotype" w:cs="Times New Roman"/>
          <w:sz w:val="24"/>
          <w:szCs w:val="24"/>
        </w:rPr>
        <w:t>P</w:t>
      </w:r>
      <w:r w:rsidR="00441825" w:rsidRPr="001855DC">
        <w:rPr>
          <w:rFonts w:ascii="Palatino Linotype" w:hAnsi="Palatino Linotype" w:cs="Times New Roman"/>
          <w:sz w:val="24"/>
          <w:szCs w:val="24"/>
        </w:rPr>
        <w:t>rovincia di Benevento.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2.2. L’Amministrazione dichiara di essere stata adeguatamente informata dall’Avvocato del grado di complessità della controversia nonché, al momento della stipulazione della presente scrittura, di tutte le circostanze prevedibili.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2.3. L’Amministrazione si impegna a fornire tutti i documenti utili e le informazioni necessarie all’espletamento dell’incarico.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 xml:space="preserve">2.4. L’Avvocato si impegna ad informare per iscritto mediante 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pec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 l’Amministrazione di tutte le circostanze non prevedibili, al momento della presente sottoscrizione, che hanno determinato un aumento dei costi, valutando anche l’opportunità della integrazione della difesa con altro collega.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b/>
          <w:bCs/>
          <w:sz w:val="24"/>
          <w:szCs w:val="24"/>
        </w:rPr>
      </w:pPr>
      <w:r w:rsidRPr="001855DC">
        <w:rPr>
          <w:rFonts w:ascii="Palatino Linotype" w:hAnsi="Palatino Linotype" w:cs="Times New Roman"/>
          <w:b/>
          <w:bCs/>
          <w:sz w:val="24"/>
          <w:szCs w:val="24"/>
        </w:rPr>
        <w:t>Art. 3 – Determinazione del compenso e termini della sua corresponsione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 xml:space="preserve">3.1. L’Amministrazione pattuisce con il predetto Avvocato, che accetta, il compenso per le prestazioni professionali, come segue </w:t>
      </w:r>
      <w:r w:rsidR="00483A19">
        <w:rPr>
          <w:rFonts w:ascii="Palatino Linotype" w:hAnsi="Palatino Linotype" w:cs="Times New Roman"/>
          <w:sz w:val="24"/>
          <w:szCs w:val="24"/>
        </w:rPr>
        <w:t xml:space="preserve">: </w:t>
      </w:r>
      <w:r w:rsidRPr="00483A19">
        <w:rPr>
          <w:rFonts w:ascii="Palatino Linotype" w:hAnsi="Palatino Linotype" w:cs="Times New Roman"/>
          <w:iCs/>
          <w:sz w:val="24"/>
          <w:szCs w:val="24"/>
        </w:rPr>
        <w:t xml:space="preserve">il compenso è pattuito, ai sensi dell’art. 13, comma </w:t>
      </w:r>
      <w:r w:rsidRPr="00483A19">
        <w:rPr>
          <w:rFonts w:ascii="Palatino Linotype" w:hAnsi="Palatino Linotype" w:cs="Times New Roman"/>
          <w:iCs/>
          <w:sz w:val="24"/>
          <w:szCs w:val="24"/>
        </w:rPr>
        <w:lastRenderedPageBreak/>
        <w:t>2 della legge 31 dicembre 2012, n. 247, secondo il preventivo depositato agli atti dell’Amministrazione prot. n. ... del ...;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 il tutto oltre anticipazioni debitamente documentate, spese particolari di studio di cui alla tabella sub all. ..., ...% spese generali, CNPA ed IVA., per una somma complessiva di € ... (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euro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 ...), come risulta dalla nota prot. n. ... del ..., agli atti.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 xml:space="preserve">3.2. Nei compensi di cui ai punti precedenti, le Parti convengono di ritenere </w:t>
      </w:r>
      <w:r w:rsidR="003E4D7C" w:rsidRPr="001855DC">
        <w:rPr>
          <w:rFonts w:ascii="Palatino Linotype" w:hAnsi="Palatino Linotype" w:cs="Times New Roman"/>
          <w:sz w:val="24"/>
          <w:szCs w:val="24"/>
        </w:rPr>
        <w:t>incluse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 le anticipazioni di legge e le ulteriori spese sostenute e/o sostenende a qualsiasi titolo per l’espletamento dell’incarico (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a titolo esemplificativo: contributo unificato di cui al d.P.R. n. 115/2002 e ss.mm.ii., imposta di registro, marche da bollo, spese di notifica, spese di viaggio, ...</w:t>
      </w:r>
      <w:r w:rsidRPr="001855DC">
        <w:rPr>
          <w:rFonts w:ascii="Palatino Linotype" w:hAnsi="Palatino Linotype" w:cs="Times New Roman"/>
          <w:sz w:val="24"/>
          <w:szCs w:val="24"/>
        </w:rPr>
        <w:t>), nonché i costi degli ausiliari e domiciliatari.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3.3. Il compenso, come sopra pattuito, viene ritenuto da entrambe le Parti congruo e soddisfacente per l’incarico professionale conferito, e non sono dovuti aggiornamenti e/o integrazioni, salvo riduzioni propo</w:t>
      </w:r>
      <w:r w:rsidR="003E4D7C" w:rsidRPr="001855DC">
        <w:rPr>
          <w:rFonts w:ascii="Palatino Linotype" w:hAnsi="Palatino Linotype" w:cs="Times New Roman"/>
          <w:sz w:val="24"/>
          <w:szCs w:val="24"/>
        </w:rPr>
        <w:t>rzionali in caso di transazione</w:t>
      </w:r>
      <w:r w:rsidRPr="001855DC">
        <w:rPr>
          <w:rFonts w:ascii="Palatino Linotype" w:hAnsi="Palatino Linotype" w:cs="Times New Roman"/>
          <w:sz w:val="24"/>
          <w:szCs w:val="24"/>
        </w:rPr>
        <w:t>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 xml:space="preserve">3.4. L’Amministrazione si impegna a pagare all’Avvocato i preavvisi di parcella che questi emetterà in acconto o a saldo entro il </w:t>
      </w:r>
      <w:r w:rsidR="003E4D7C" w:rsidRPr="001855DC">
        <w:rPr>
          <w:rFonts w:ascii="Palatino Linotype" w:hAnsi="Palatino Linotype" w:cs="Times New Roman"/>
          <w:sz w:val="24"/>
          <w:szCs w:val="24"/>
        </w:rPr>
        <w:t>30°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 giorno dal ricevimento degli stessi al protocollo dell’Amministrazione, ovvero all’indirizzo di posta elettronica certificata, nel seguente c.c. dedicato ... intestato a ... presso ...</w:t>
      </w:r>
      <w:r w:rsidR="00483A19">
        <w:rPr>
          <w:rFonts w:ascii="Palatino Linotype" w:hAnsi="Palatino Linotype" w:cs="Times New Roman"/>
          <w:sz w:val="24"/>
          <w:szCs w:val="24"/>
        </w:rPr>
        <w:t xml:space="preserve">, </w:t>
      </w:r>
      <w:r w:rsidRPr="00483A19">
        <w:rPr>
          <w:rFonts w:ascii="Palatino Linotype" w:hAnsi="Palatino Linotype" w:cs="Times New Roman"/>
          <w:iCs/>
          <w:sz w:val="24"/>
          <w:szCs w:val="24"/>
        </w:rPr>
        <w:t xml:space="preserve">per ciascun acconto che sarà corrisposto su richiesta dell’Avvocato, </w:t>
      </w:r>
      <w:r w:rsidR="00483A19" w:rsidRPr="00483A19">
        <w:rPr>
          <w:rFonts w:ascii="Palatino Linotype" w:hAnsi="Palatino Linotype" w:cs="Times New Roman"/>
          <w:iCs/>
          <w:sz w:val="24"/>
          <w:szCs w:val="24"/>
        </w:rPr>
        <w:t>sarà presentata apposita relazione sulla attività fino a quel momento svolta.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3.5. L’Avvocato assume tutti gli obblighi di tracciabilità dei flussi finanziari, di cui all’articolo 3, della legge 13 agosto 2010, n. 136 e successive modifiche, pena la risoluzione di diritto del presente contratto.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3.6. L’Avvocato è autorizzato dall’Amministrazione a farsi versare direttamente dalla controparte le spese legali poste a carico di quest’ultima, nonché a trattenere in compensazione eventuali somme recuperate dalla controparte sino a soddisfazione delle parcelle emesse per tutta l’attività compiuta.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3.7. Resta inteso che l’Avvocato si obbliga ad indicare con voce specifica l’importo delle spese sostenute in nome e per conto dell’Amministrazione, nonché a redigere dettagliata notula che dia conto delle somme versate e, tra queste, di quelle sostenute a titolo di anticipazione non imponibile e/o spesa imponibile, necessarie per l’espletamento dell’incarico. Le spese di domiciliazione vengono computate nel compenso sopra indicato.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3.8. L’avvocato si impegna ad emettere le richieste di pagamento/fatture secondo l’attività effettivamente</w:t>
      </w:r>
      <w:r w:rsidR="00EF118C">
        <w:rPr>
          <w:rFonts w:ascii="Palatino Linotype" w:hAnsi="Palatino Linotype" w:cs="Times New Roman"/>
          <w:sz w:val="24"/>
          <w:szCs w:val="24"/>
        </w:rPr>
        <w:t xml:space="preserve"> </w:t>
      </w:r>
      <w:r w:rsidR="00EF118C" w:rsidRPr="001855DC">
        <w:rPr>
          <w:rFonts w:ascii="Palatino Linotype" w:hAnsi="Palatino Linotype" w:cs="Times New Roman"/>
          <w:sz w:val="24"/>
          <w:szCs w:val="24"/>
        </w:rPr>
        <w:t>svolta</w:t>
      </w:r>
      <w:r w:rsidR="00EF118C">
        <w:rPr>
          <w:rFonts w:ascii="Palatino Linotype" w:hAnsi="Palatino Linotype" w:cs="Times New Roman"/>
          <w:sz w:val="24"/>
          <w:szCs w:val="24"/>
        </w:rPr>
        <w:t xml:space="preserve">, previa relazione sull’attività svolta, </w:t>
      </w:r>
      <w:r w:rsidRPr="001855DC">
        <w:rPr>
          <w:rFonts w:ascii="Palatino Linotype" w:hAnsi="Palatino Linotype" w:cs="Times New Roman"/>
          <w:sz w:val="24"/>
          <w:szCs w:val="24"/>
        </w:rPr>
        <w:t>con periodicità non inferiore all’anno e l’Amministrazione procederà al pagamento della parcella a saldo a conclusione del singolo grado di giudizio, dietro presentazione: del fascicolo di causa contenente i verbali delle udienze e la relativa documentazione; del documento fiscale redatto secondo quanto precedentemente pattuito.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3.9. In ogni caso, ogni aumento del compenso deve essere preventivamente comunicato e autorizzato con apposito provvedimento.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</w:p>
    <w:p w:rsidR="003F074F" w:rsidRPr="00C90D0C" w:rsidRDefault="003F074F" w:rsidP="003F074F">
      <w:pPr>
        <w:pStyle w:val="TestoModulisticaCAP16"/>
        <w:rPr>
          <w:rFonts w:ascii="Palatino Linotype" w:hAnsi="Palatino Linotype" w:cs="Times New Roman"/>
          <w:b/>
          <w:bCs/>
          <w:sz w:val="24"/>
          <w:szCs w:val="24"/>
        </w:rPr>
      </w:pPr>
      <w:r w:rsidRPr="00C90D0C">
        <w:rPr>
          <w:rFonts w:ascii="Palatino Linotype" w:hAnsi="Palatino Linotype" w:cs="Times New Roman"/>
          <w:b/>
          <w:bCs/>
          <w:sz w:val="24"/>
          <w:szCs w:val="24"/>
        </w:rPr>
        <w:t>Art. 4 – Mancata corresponsione competenze e clausola risolutiva espressa</w:t>
      </w:r>
    </w:p>
    <w:p w:rsidR="001855DC" w:rsidRPr="00C90D0C" w:rsidRDefault="003F074F" w:rsidP="001855DC">
      <w:pPr>
        <w:pStyle w:val="TestoModulisticaCAP16"/>
        <w:rPr>
          <w:rFonts w:ascii="Palatino Linotype" w:hAnsi="Palatino Linotype"/>
          <w:sz w:val="24"/>
          <w:szCs w:val="24"/>
        </w:rPr>
      </w:pPr>
      <w:r w:rsidRPr="00C90D0C">
        <w:rPr>
          <w:rFonts w:ascii="Palatino Linotype" w:hAnsi="Palatino Linotype" w:cs="Times New Roman"/>
          <w:sz w:val="24"/>
          <w:szCs w:val="24"/>
        </w:rPr>
        <w:t xml:space="preserve">4.1. </w:t>
      </w:r>
      <w:r w:rsidR="001855DC" w:rsidRPr="00C90D0C">
        <w:rPr>
          <w:rFonts w:ascii="Palatino Linotype" w:hAnsi="Palatino Linotype"/>
          <w:sz w:val="24"/>
          <w:szCs w:val="24"/>
        </w:rPr>
        <w:t>R</w:t>
      </w:r>
      <w:r w:rsidR="001855DC" w:rsidRPr="00C90D0C">
        <w:rPr>
          <w:rFonts w:ascii="Palatino Linotype" w:hAnsi="Palatino Linotype"/>
          <w:iCs/>
          <w:sz w:val="24"/>
          <w:szCs w:val="24"/>
        </w:rPr>
        <w:t xml:space="preserve">ichiamato quanto pattuito, le parti convengono altresì che il mancato anticipato versamento dell’importo corrispondente alle spese necessarie per la sola instaurazione del giudizio, quali i costi per la notifica dell’atto introduttivo e la sua iscrizione a ruolo (contributo unificato, marche da bollo, spese di notificazione)  potrebbe costituire causa di risoluzione della presente scrittura privata e con la conseguenza che il professionista </w:t>
      </w:r>
      <w:r w:rsidR="001855DC" w:rsidRPr="00C90D0C">
        <w:rPr>
          <w:rFonts w:ascii="Palatino Linotype" w:hAnsi="Palatino Linotype"/>
          <w:iCs/>
          <w:sz w:val="24"/>
          <w:szCs w:val="24"/>
        </w:rPr>
        <w:lastRenderedPageBreak/>
        <w:t xml:space="preserve">potrebbe rinunciare al mandato conferito con esonero da ogni responsabilità professionale, fatti salvi i soli oneri di comunicazione </w:t>
      </w:r>
      <w:r w:rsidR="001855DC" w:rsidRPr="00C90D0C">
        <w:rPr>
          <w:rFonts w:ascii="Palatino Linotype" w:hAnsi="Palatino Linotype"/>
          <w:sz w:val="24"/>
          <w:szCs w:val="24"/>
        </w:rPr>
        <w:t>ex lege</w:t>
      </w:r>
      <w:r w:rsidR="001855DC" w:rsidRPr="00C90D0C">
        <w:rPr>
          <w:rFonts w:ascii="Palatino Linotype" w:hAnsi="Palatino Linotype"/>
          <w:iCs/>
          <w:sz w:val="24"/>
          <w:szCs w:val="24"/>
        </w:rPr>
        <w:t xml:space="preserve"> previsti sino alla nomina di altro procuratore</w:t>
      </w:r>
      <w:r w:rsidR="001855DC" w:rsidRPr="00C90D0C">
        <w:rPr>
          <w:rFonts w:ascii="Palatino Linotype" w:hAnsi="Palatino Linotype"/>
          <w:sz w:val="24"/>
          <w:szCs w:val="24"/>
        </w:rPr>
        <w:t>.</w:t>
      </w:r>
    </w:p>
    <w:p w:rsidR="003F074F" w:rsidRPr="00C90D0C" w:rsidRDefault="001855DC" w:rsidP="001855DC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C90D0C">
        <w:rPr>
          <w:rFonts w:ascii="Palatino Linotype" w:hAnsi="Palatino Linotype"/>
          <w:sz w:val="24"/>
          <w:szCs w:val="24"/>
        </w:rPr>
        <w:t xml:space="preserve">4.2. In caso di recesso </w:t>
      </w:r>
      <w:r w:rsidRPr="00C90D0C">
        <w:rPr>
          <w:rFonts w:ascii="Palatino Linotype" w:hAnsi="Palatino Linotype"/>
          <w:iCs/>
          <w:sz w:val="24"/>
          <w:szCs w:val="24"/>
        </w:rPr>
        <w:t>ovvero di sua revoca o estinzione per altra causa l’Amministrazione si impegna a corrispondere quanto pattuito</w:t>
      </w:r>
      <w:r w:rsidR="00483603" w:rsidRPr="00C90D0C">
        <w:rPr>
          <w:rFonts w:ascii="Palatino Linotype" w:hAnsi="Palatino Linotype"/>
          <w:iCs/>
          <w:sz w:val="24"/>
          <w:szCs w:val="24"/>
        </w:rPr>
        <w:t xml:space="preserve">, </w:t>
      </w:r>
      <w:r w:rsidRPr="00C90D0C">
        <w:rPr>
          <w:rFonts w:ascii="Palatino Linotype" w:hAnsi="Palatino Linotype"/>
          <w:iCs/>
          <w:sz w:val="24"/>
          <w:szCs w:val="24"/>
        </w:rPr>
        <w:t>proporzionalmente all’attività sino a quel momento svolta</w:t>
      </w:r>
      <w:r w:rsidRPr="00C90D0C">
        <w:rPr>
          <w:rFonts w:ascii="Palatino Linotype" w:hAnsi="Palatino Linotype"/>
          <w:sz w:val="24"/>
          <w:szCs w:val="24"/>
        </w:rPr>
        <w:t>.</w:t>
      </w:r>
    </w:p>
    <w:p w:rsidR="001855DC" w:rsidRDefault="001855DC" w:rsidP="003F074F">
      <w:pPr>
        <w:pStyle w:val="TestoModulisticaCAP16"/>
        <w:rPr>
          <w:rFonts w:ascii="Palatino Linotype" w:hAnsi="Palatino Linotype" w:cs="Times New Roman"/>
          <w:b/>
          <w:bCs/>
          <w:sz w:val="24"/>
          <w:szCs w:val="24"/>
        </w:rPr>
      </w:pP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b/>
          <w:bCs/>
          <w:sz w:val="24"/>
          <w:szCs w:val="24"/>
        </w:rPr>
      </w:pPr>
      <w:r w:rsidRPr="001855DC">
        <w:rPr>
          <w:rFonts w:ascii="Palatino Linotype" w:hAnsi="Palatino Linotype" w:cs="Times New Roman"/>
          <w:b/>
          <w:bCs/>
          <w:sz w:val="24"/>
          <w:szCs w:val="24"/>
        </w:rPr>
        <w:t>Art. 5 – Rilevanza della liquidazione giudiziale – compensazione</w:t>
      </w:r>
    </w:p>
    <w:p w:rsidR="00483A19" w:rsidRPr="00483A19" w:rsidRDefault="003F074F" w:rsidP="00483A19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 xml:space="preserve">5.1. </w:t>
      </w:r>
      <w:r w:rsidR="001855DC" w:rsidRPr="001855DC">
        <w:rPr>
          <w:rFonts w:ascii="Palatino Linotype" w:hAnsi="Palatino Linotype" w:cs="Times New Roman"/>
          <w:sz w:val="24"/>
          <w:szCs w:val="24"/>
        </w:rPr>
        <w:t xml:space="preserve">L’Amministrazione  </w:t>
      </w:r>
      <w:r w:rsidR="001855DC" w:rsidRPr="001855DC">
        <w:rPr>
          <w:rFonts w:ascii="Palatino Linotype" w:hAnsi="Palatino Linotype" w:cs="Times New Roman"/>
          <w:iCs/>
          <w:sz w:val="24"/>
          <w:szCs w:val="24"/>
        </w:rPr>
        <w:t xml:space="preserve"> si impegna a corrispondere all’Avvocato gli importi di cui alla presente scrittura privata. Precisando che in caso di giudizio con esito sfavorevole o compensazione delle spese l’amministrazione liquiderà quanto pattuito con la presente convenzione, in caso invece di liquidazione giudiziale in favore dell’amministrazione con attribuzione  specifica  e non, all’avvocato, questi provvederà al suo recupero e </w:t>
      </w:r>
      <w:r w:rsidR="001855DC" w:rsidRPr="001855DC">
        <w:rPr>
          <w:rFonts w:ascii="Palatino Linotype" w:hAnsi="Palatino Linotype" w:cs="Times New Roman"/>
          <w:sz w:val="24"/>
          <w:szCs w:val="24"/>
        </w:rPr>
        <w:t xml:space="preserve"> ove l’importo liquidato giudizialmente sia superiore a quanto sopra pattuito, la differenza, epurata dell’eventuale anticipo versato dall’ente,</w:t>
      </w:r>
      <w:r w:rsidR="00C90D0C">
        <w:rPr>
          <w:rFonts w:ascii="Palatino Linotype" w:hAnsi="Palatino Linotype" w:cs="Times New Roman"/>
          <w:sz w:val="24"/>
          <w:szCs w:val="24"/>
        </w:rPr>
        <w:t xml:space="preserve"> </w:t>
      </w:r>
      <w:r w:rsidR="001855DC" w:rsidRPr="001855DC">
        <w:rPr>
          <w:rFonts w:ascii="Palatino Linotype" w:hAnsi="Palatino Linotype" w:cs="Times New Roman"/>
          <w:sz w:val="24"/>
          <w:szCs w:val="24"/>
        </w:rPr>
        <w:t>sarà riconosciuta a favore dell’Avvocato e questi rinuncerà al compenso pattuito, in quanto ampiamente remunerato dalla liquidazione giudiziale.</w:t>
      </w:r>
      <w:r w:rsidR="00483A19">
        <w:rPr>
          <w:rFonts w:ascii="Palatino Linotype" w:hAnsi="Palatino Linotype" w:cs="Times New Roman"/>
          <w:sz w:val="24"/>
          <w:szCs w:val="24"/>
        </w:rPr>
        <w:t xml:space="preserve"> </w:t>
      </w:r>
      <w:r w:rsidR="00483A19" w:rsidRPr="00483A19">
        <w:rPr>
          <w:rFonts w:ascii="Palatino Linotype" w:hAnsi="Palatino Linotype" w:cs="Times New Roman"/>
          <w:sz w:val="24"/>
          <w:szCs w:val="24"/>
        </w:rPr>
        <w:t>Il Professionista dovrà attivarsi per il recupero delle somme liquidate e nient’altro potrà più pretendere dall’Amministrazione. Nel caso di inesigibilità dimostrata delle stesse al professionista spetterà la somma stabilita in convenzione e lo stesso non potrà pretendere dalla Provincia la maggiore somma disposta dal Giudice.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b/>
          <w:bCs/>
          <w:sz w:val="24"/>
          <w:szCs w:val="24"/>
        </w:rPr>
      </w:pPr>
      <w:r w:rsidRPr="001855DC">
        <w:rPr>
          <w:rFonts w:ascii="Palatino Linotype" w:hAnsi="Palatino Linotype" w:cs="Times New Roman"/>
          <w:b/>
          <w:bCs/>
          <w:sz w:val="24"/>
          <w:szCs w:val="24"/>
        </w:rPr>
        <w:t>Art. 6 – Consulenti ed investigatori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6.1. Le Parti concordano che l’Avvocato possa avvalersi di sostituti e collaboratori</w:t>
      </w:r>
      <w:r w:rsidR="00483A19">
        <w:rPr>
          <w:rFonts w:ascii="Palatino Linotype" w:hAnsi="Palatino Linotype" w:cs="Times New Roman"/>
          <w:sz w:val="24"/>
          <w:szCs w:val="24"/>
        </w:rPr>
        <w:t xml:space="preserve">, previa autorizzazione dell’amministrazione  e dopo aver consultato l’avvocatura interna, 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 per lo svolgimento della prestazione, con oneri a carico dell’Amministrazione.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6.2. L’Avvocato si impegna ad informare l’Amministrazione della nomina di consulenti ed investigatori.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b/>
          <w:bCs/>
          <w:sz w:val="24"/>
          <w:szCs w:val="24"/>
        </w:rPr>
      </w:pPr>
      <w:r w:rsidRPr="001855DC">
        <w:rPr>
          <w:rFonts w:ascii="Palatino Linotype" w:hAnsi="Palatino Linotype" w:cs="Times New Roman"/>
          <w:b/>
          <w:bCs/>
          <w:sz w:val="24"/>
          <w:szCs w:val="24"/>
        </w:rPr>
        <w:t>Art. 7 – Clausole di chiusura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7.1. In caso di controversie tra le Parti il foro esclusivo è quello dell’Amministrazione.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7.2. Le Parti si sono scambiate l’informativa e il consenso sul trattamento dei dati personali, ai sensi del Regolamento UE 679/2016, nonché il Codice di Comportamento dei dipendenti dell’Amministrazione.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7.3. L’avvocato dichiara di essere a conoscenza della norma di cui all’art. 2, comma 3 del d.P.R. n. 62/2013 e di accettare incondizionatamente l’incarico nel rispetto delle regole di integrità previste dal Piano Triennale di Prevenzione della Corruzione e della Trasparenza e dal vigente Codice di comportamento dell’Amministrazione, nonché delle condizioni previste nel Regolamento (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oppure, Linee Guida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) per la costituzione dell’Albo dei servizi legali, di cui all’art. </w:t>
      </w:r>
      <w:r w:rsidR="00441825" w:rsidRPr="001855DC">
        <w:rPr>
          <w:rFonts w:ascii="Palatino Linotype" w:hAnsi="Palatino Linotype" w:cs="Times New Roman"/>
          <w:sz w:val="24"/>
          <w:szCs w:val="24"/>
        </w:rPr>
        <w:t>56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, comma 1, lettera </w:t>
      </w:r>
      <w:r w:rsidR="00441825" w:rsidRPr="001855DC">
        <w:rPr>
          <w:rFonts w:ascii="Palatino Linotype" w:hAnsi="Palatino Linotype" w:cs="Times New Roman"/>
          <w:sz w:val="24"/>
          <w:szCs w:val="24"/>
        </w:rPr>
        <w:t>h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) del d.lgs. n. </w:t>
      </w:r>
      <w:r w:rsidR="00441825" w:rsidRPr="001855DC">
        <w:rPr>
          <w:rFonts w:ascii="Palatino Linotype" w:hAnsi="Palatino Linotype" w:cs="Times New Roman"/>
          <w:sz w:val="24"/>
          <w:szCs w:val="24"/>
        </w:rPr>
        <w:t>36/2023</w:t>
      </w:r>
      <w:r w:rsidRPr="001855DC">
        <w:rPr>
          <w:rFonts w:ascii="Palatino Linotype" w:hAnsi="Palatino Linotype" w:cs="Times New Roman"/>
          <w:sz w:val="24"/>
          <w:szCs w:val="24"/>
        </w:rPr>
        <w:t>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 xml:space="preserve">7.4. L’eventuale inosservanza delle disposizioni stabilite dal d.P.R. n. 62/2013 e delle misure previste nel PTPCT determina 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ipso iure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 la risoluzione del presente contratto da valere quale clausola risolutiva espressa ai sensi dell’art. 1456 c.c. (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oppure, la violazione delle norme e misure di cui al punto precedente può dar corso alla risoluzione del contratto in caso di gravità e previa contestazione</w:t>
      </w:r>
      <w:r w:rsidRPr="001855DC">
        <w:rPr>
          <w:rFonts w:ascii="Palatino Linotype" w:hAnsi="Palatino Linotype" w:cs="Times New Roman"/>
          <w:sz w:val="24"/>
          <w:szCs w:val="24"/>
        </w:rPr>
        <w:t>).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 xml:space="preserve">7.5. L’Avvocato dichiara espressamente e conferma l’assenza di conflitti di interessi, anche </w:t>
      </w:r>
      <w:r w:rsidRPr="001855DC">
        <w:rPr>
          <w:rFonts w:ascii="Palatino Linotype" w:hAnsi="Palatino Linotype" w:cs="Times New Roman"/>
          <w:sz w:val="24"/>
          <w:szCs w:val="24"/>
        </w:rPr>
        <w:lastRenderedPageBreak/>
        <w:t>potenziali, con l’Amministrazione e/o previsti nel Codice deontologico forense, nonché l’assenza di cause di incompatibilità o inconferibilità, ai sensi del d.lgs. n. 39/2013, obbligandosi a comunicare nel corso dell’esecuzione del contratto e sino al termine ogni modifica della presente dichiarazione.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7.6. La presente scrittura privata è registrata in caso d’uso, ai sensi dell’art. 5 del T.U. n. 131/1986.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7.7. Tutte le spese inerenti e conseguenti al presente contratto, nessuna esclusa od eccettuata, sono a totale carico dell’Avvocato.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Letto, confermato e sottoscritto con firma digitale.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Amministrazione ...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Avvocato ...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Per approvazione espressa delle singole clausole contenute nei seguenti articoli della presente scrittura privata: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- art. 2, comma 2, nella quale l’Amministrazione dichiara di essere stata adeguatamente informata dall’Avvocato del grado di complessità della controversia al momento della stipulazione della presente scrittura privata;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 xml:space="preserve">- art. 2, comma 4, nella quale l’Amministrazione conviene che l’Avvocato la informi per iscritto mediante 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pec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 di tutte le circostanze non prevedibili, al momento della stipulazione della presente scrittura, che possano determinare un aumento dei costi e l’opportunità di integrazione della difesa;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- art. 3, commi 3.1, 3.2., 3.3, 3.4., nelle quali si determina il compenso, l’esclusione delle voci, la congruità, il pagamento, l’autorizzazione a versamenti diretti;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- art. 4, commi 4.1., 4.2., nella quale si determinano i casi di risoluzione per il mancato pagamento degli acconti o la mancata rifusione delle spese anticipate, nonché l’obbligo di pagamento in caso di recesso;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- art. 5, comma 1, nella quale sono previsti la rifusione del compenso indipendentemente dalla liquidazione giudiziale, il pagamento della differenza del compenso rispetto a quanto liquidato giudizialmente.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L’Amministrazione ...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L’Avvocato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 xml:space="preserve">La presente scrittura privata viene redatta in duplice originale ed è sottoscritta da ..., in qualità di ... in nome e per conto dell’Amministrazione di </w:t>
      </w:r>
      <w:r w:rsidR="00C90D0C">
        <w:rPr>
          <w:rFonts w:ascii="Palatino Linotype" w:hAnsi="Palatino Linotype" w:cs="Times New Roman"/>
          <w:sz w:val="24"/>
          <w:szCs w:val="24"/>
        </w:rPr>
        <w:t>Provinciale di Benevento</w:t>
      </w:r>
      <w:r w:rsidRPr="001855DC">
        <w:rPr>
          <w:rFonts w:ascii="Palatino Linotype" w:hAnsi="Palatino Linotype" w:cs="Times New Roman"/>
          <w:sz w:val="24"/>
          <w:szCs w:val="24"/>
        </w:rPr>
        <w:t xml:space="preserve"> e dall’Avvocato ... (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oppure, la presente scrittura privata viene firmata digitalmente dalle parti</w:t>
      </w:r>
      <w:r w:rsidRPr="001855DC">
        <w:rPr>
          <w:rFonts w:ascii="Palatino Linotype" w:hAnsi="Palatino Linotype" w:cs="Times New Roman"/>
          <w:sz w:val="24"/>
          <w:szCs w:val="24"/>
        </w:rPr>
        <w:t>).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  <w:r w:rsidRPr="001855DC">
        <w:rPr>
          <w:rFonts w:ascii="Palatino Linotype" w:hAnsi="Palatino Linotype" w:cs="Times New Roman"/>
          <w:sz w:val="24"/>
          <w:szCs w:val="24"/>
        </w:rPr>
        <w:t>(</w:t>
      </w:r>
      <w:r w:rsidRPr="001855DC">
        <w:rPr>
          <w:rFonts w:ascii="Palatino Linotype" w:hAnsi="Palatino Linotype" w:cs="Times New Roman"/>
          <w:i/>
          <w:iCs/>
          <w:sz w:val="24"/>
          <w:szCs w:val="24"/>
        </w:rPr>
        <w:t>Allegati copia dei documenti d’identità delle Parti rilasciati da ... in data ..., in corso di validità; informative; spese; distinta parcella</w:t>
      </w:r>
      <w:r w:rsidRPr="001855DC">
        <w:rPr>
          <w:rFonts w:ascii="Palatino Linotype" w:hAnsi="Palatino Linotype" w:cs="Times New Roman"/>
          <w:sz w:val="24"/>
          <w:szCs w:val="24"/>
        </w:rPr>
        <w:t>).</w:t>
      </w:r>
    </w:p>
    <w:p w:rsidR="003F074F" w:rsidRPr="001855DC" w:rsidRDefault="003F074F" w:rsidP="003F074F">
      <w:pPr>
        <w:pStyle w:val="TestoModulisticaCAP16"/>
        <w:rPr>
          <w:rFonts w:ascii="Palatino Linotype" w:hAnsi="Palatino Linotype" w:cs="Times New Roman"/>
          <w:sz w:val="24"/>
          <w:szCs w:val="24"/>
        </w:rPr>
      </w:pPr>
    </w:p>
    <w:p w:rsidR="003F074F" w:rsidRPr="001855DC" w:rsidRDefault="003F074F" w:rsidP="003F074F">
      <w:pPr>
        <w:rPr>
          <w:rFonts w:ascii="Palatino Linotype" w:hAnsi="Palatino Linotype" w:cs="Times New Roman"/>
        </w:rPr>
      </w:pPr>
    </w:p>
    <w:p w:rsidR="003F074F" w:rsidRPr="001855DC" w:rsidRDefault="003F074F" w:rsidP="003F074F">
      <w:pPr>
        <w:rPr>
          <w:rFonts w:ascii="Palatino Linotype" w:hAnsi="Palatino Linotype" w:cs="Times New Roman"/>
        </w:rPr>
      </w:pPr>
    </w:p>
    <w:p w:rsidR="008C7514" w:rsidRPr="001855DC" w:rsidRDefault="008C7514">
      <w:pPr>
        <w:rPr>
          <w:rFonts w:ascii="Palatino Linotype" w:hAnsi="Palatino Linotype" w:cs="Times New Roman"/>
        </w:rPr>
      </w:pPr>
    </w:p>
    <w:sectPr w:rsidR="008C7514" w:rsidRPr="001855DC" w:rsidSect="00C90D0C">
      <w:footerReference w:type="default" r:id="rId7"/>
      <w:pgSz w:w="11900" w:h="16840"/>
      <w:pgMar w:top="709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224" w:rsidRDefault="00467224" w:rsidP="003F074F">
      <w:r>
        <w:separator/>
      </w:r>
    </w:p>
  </w:endnote>
  <w:endnote w:type="continuationSeparator" w:id="0">
    <w:p w:rsidR="00467224" w:rsidRDefault="00467224" w:rsidP="003F0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Aster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4"/>
      <w:docPartObj>
        <w:docPartGallery w:val="Page Numbers (Bottom of Page)"/>
        <w:docPartUnique/>
      </w:docPartObj>
    </w:sdtPr>
    <w:sdtContent>
      <w:p w:rsidR="00C90D0C" w:rsidRDefault="00376DD4">
        <w:pPr>
          <w:pStyle w:val="Pidipagina"/>
          <w:jc w:val="center"/>
        </w:pPr>
        <w:r w:rsidRPr="00C90D0C">
          <w:rPr>
            <w:rFonts w:ascii="Palatino Linotype" w:hAnsi="Palatino Linotype"/>
          </w:rPr>
          <w:fldChar w:fldCharType="begin"/>
        </w:r>
        <w:r w:rsidR="00C90D0C" w:rsidRPr="00C90D0C">
          <w:rPr>
            <w:rFonts w:ascii="Palatino Linotype" w:hAnsi="Palatino Linotype"/>
          </w:rPr>
          <w:instrText>PAGE   \* MERGEFORMAT</w:instrText>
        </w:r>
        <w:r w:rsidRPr="00C90D0C">
          <w:rPr>
            <w:rFonts w:ascii="Palatino Linotype" w:hAnsi="Palatino Linotype"/>
          </w:rPr>
          <w:fldChar w:fldCharType="separate"/>
        </w:r>
        <w:r w:rsidR="00483A19">
          <w:rPr>
            <w:rFonts w:ascii="Palatino Linotype" w:hAnsi="Palatino Linotype"/>
            <w:noProof/>
          </w:rPr>
          <w:t>5</w:t>
        </w:r>
        <w:r w:rsidRPr="00C90D0C">
          <w:rPr>
            <w:rFonts w:ascii="Palatino Linotype" w:hAnsi="Palatino Linotype"/>
          </w:rPr>
          <w:fldChar w:fldCharType="end"/>
        </w:r>
      </w:p>
    </w:sdtContent>
  </w:sdt>
  <w:p w:rsidR="00C90D0C" w:rsidRDefault="00C90D0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224" w:rsidRDefault="00467224" w:rsidP="003F074F">
      <w:r>
        <w:separator/>
      </w:r>
    </w:p>
  </w:footnote>
  <w:footnote w:type="continuationSeparator" w:id="0">
    <w:p w:rsidR="00467224" w:rsidRDefault="00467224" w:rsidP="003F07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F074F"/>
    <w:rsid w:val="001534BA"/>
    <w:rsid w:val="001855DC"/>
    <w:rsid w:val="002632D0"/>
    <w:rsid w:val="00376DD4"/>
    <w:rsid w:val="003E4D7C"/>
    <w:rsid w:val="003F074F"/>
    <w:rsid w:val="00405015"/>
    <w:rsid w:val="00441825"/>
    <w:rsid w:val="00467224"/>
    <w:rsid w:val="00483603"/>
    <w:rsid w:val="00483A19"/>
    <w:rsid w:val="00540064"/>
    <w:rsid w:val="00574CE5"/>
    <w:rsid w:val="00582FAA"/>
    <w:rsid w:val="006F5A4F"/>
    <w:rsid w:val="008C7514"/>
    <w:rsid w:val="00AD2C3C"/>
    <w:rsid w:val="00C90D0C"/>
    <w:rsid w:val="00D14300"/>
    <w:rsid w:val="00E71315"/>
    <w:rsid w:val="00EB22E5"/>
    <w:rsid w:val="00EF118C"/>
    <w:rsid w:val="00FA1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074F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ModulisticaCAP16">
    <w:name w:val="Testo Modulistica (CAP 16)"/>
    <w:basedOn w:val="Normale"/>
    <w:uiPriority w:val="99"/>
    <w:rsid w:val="003F074F"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New Aster LT Std" w:eastAsiaTheme="minorEastAsia" w:hAnsi="New Aster LT Std" w:cs="New Aster LT Std"/>
      <w:color w:val="000000"/>
      <w:sz w:val="18"/>
      <w:szCs w:val="18"/>
      <w:lang w:eastAsia="it-IT"/>
    </w:rPr>
  </w:style>
  <w:style w:type="paragraph" w:customStyle="1" w:styleId="NoteModulistica8-10">
    <w:name w:val="Note Modulistica (8-10)"/>
    <w:basedOn w:val="Normale"/>
    <w:uiPriority w:val="99"/>
    <w:rsid w:val="003F074F"/>
    <w:pPr>
      <w:widowControl w:val="0"/>
      <w:tabs>
        <w:tab w:val="left" w:pos="397"/>
        <w:tab w:val="left" w:pos="567"/>
        <w:tab w:val="left" w:pos="680"/>
        <w:tab w:val="left" w:pos="964"/>
      </w:tabs>
      <w:autoSpaceDE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New Aster LT Std" w:eastAsiaTheme="minorEastAsia" w:hAnsi="New Aster LT Std" w:cs="New Aster LT Std"/>
      <w:color w:val="000000"/>
      <w:sz w:val="16"/>
      <w:szCs w:val="16"/>
      <w:lang w:eastAsia="it-IT"/>
    </w:rPr>
  </w:style>
  <w:style w:type="paragraph" w:customStyle="1" w:styleId="Notepidipagina">
    <w:name w:val="Note piè di pagina"/>
    <w:basedOn w:val="Normale"/>
    <w:uiPriority w:val="99"/>
    <w:rsid w:val="003F074F"/>
    <w:pPr>
      <w:widowControl w:val="0"/>
      <w:tabs>
        <w:tab w:val="left" w:pos="397"/>
        <w:tab w:val="left" w:pos="567"/>
        <w:tab w:val="left" w:pos="680"/>
        <w:tab w:val="left" w:pos="964"/>
      </w:tabs>
      <w:autoSpaceDE w:val="0"/>
      <w:autoSpaceDN w:val="0"/>
      <w:adjustRightInd w:val="0"/>
      <w:spacing w:line="220" w:lineRule="atLeast"/>
      <w:ind w:firstLine="283"/>
      <w:jc w:val="both"/>
      <w:textAlignment w:val="center"/>
    </w:pPr>
    <w:rPr>
      <w:rFonts w:ascii="New Aster LT Std" w:eastAsiaTheme="minorEastAsia" w:hAnsi="New Aster LT Std" w:cs="New Aster LT Std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0D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D0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90D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0D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Ut-Sett-I-14</dc:creator>
  <cp:lastModifiedBy>maria.iacobellis</cp:lastModifiedBy>
  <cp:revision>10</cp:revision>
  <dcterms:created xsi:type="dcterms:W3CDTF">2025-09-16T10:00:00Z</dcterms:created>
  <dcterms:modified xsi:type="dcterms:W3CDTF">2025-11-04T13:58:00Z</dcterms:modified>
</cp:coreProperties>
</file>